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9684" w:type="dxa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950"/>
        <w:gridCol w:w="800"/>
        <w:gridCol w:w="710"/>
        <w:gridCol w:w="657"/>
        <w:gridCol w:w="550"/>
        <w:gridCol w:w="816"/>
        <w:gridCol w:w="567"/>
        <w:gridCol w:w="567"/>
        <w:gridCol w:w="1216"/>
        <w:gridCol w:w="2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6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金山区卫生计生系统2018年卫技人员第二轮公开招聘简章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年龄上限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专业技术资格要求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消化内科学或内科学专业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1.2010年以后毕业的须取得住院医师规范化培训合格证书；2.具有一定科研经历并发表过SCI文章；3.具有相关工作经历者优先。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心血管内科学或内科学专业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普通外科学或外科学专业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1.2010年以后毕业的须取得住院医师规范化培训合格证书；2.具有一定科研经历并发表过SCI文章；3.具有相关工作经历者优先。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泌尿外科学或外科学专业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1.2010年以后毕业的须取得住院医师规范化培训合格证书；2.具有一定科研能力；3.具有相关工作经历者优先。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神经外科学或外科学专业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1.2010年以后毕业的须取得住院医师规范化培训合格证书；2.住院医师可适当放宽至硕士研究生学历及相应学位；3.具有相关工作经历者优先；。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1.2010年以后毕业的须取得住院医师规范化培训合格证书；2.具有3年以上工作经验；3.具有相关工作经历者优先。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1.2010年以后毕业的须取得住院医师规范化培训合格证书；2.高年资住院医师或低年资主治医师优先；3.具有相关工作经历者优先。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儿科学或儿内科学专业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1.2010年以后毕业的须取得住院医师规范化培训合格证书；2.具有一定科研能力；3.具有相关工作经历者优先；4.住院医师可放宽至本科学历及相应学位。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职业病科医生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1.2010年以后毕业的须取得住院医师规范化培训合格证书；2.具有职业病科、急诊科和ICU工作经历者优先。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超声医学科医生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创面诊疗中心医生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外科学相关专业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具有执业医师资格证书、中级资格证书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临床营养及相关专业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1.非应届生应具有药学相关专业技术资格证书；2.具有相关工作经历者优先。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上海市第六人民医院金山分院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1.2010年以后毕业的须取得住院医师规范化培训合格证书；2.中级职称、特别优秀者，年龄可适当放宽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内科或全科专业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具有康复医学治疗技师资格证书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具有一定相关工作经历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具备良好的思想政治素质、职业道德和敬业精神；身体健康。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金山区牙病防治所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石化社区卫生服务中心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具有执业医师资格证书或技师资格证书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1.2010年以后毕业的医师须取得住院医师规范化培训合格证书；2.大专学历需具有本市户口；3、具有相关工作经历者优先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1.2010年以后毕业的医师须取得住院医师规范化培训合格证书；2、大专学历需具有本市户口；3、具有相关工作经历者优先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全科医学专业或中医全科医学专业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具有执业医师资格证书，且注册为全科专业或中医全科专业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1.2010年以后毕业的须取得住院医师规范化培训合格证书（全科或中医全科）；2.具有相关工作经历者优先。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金山卫镇社区卫生服务中心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具有执业医师资格证书，且注册为中医全科专业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1.2010年以后毕业的须取得住院医师规范化培训合格证书（中医全科）；2.具有相关工作经历者优先。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金山卫镇社区卫生服务中心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上海金山工业区社区卫生服务中心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2010年以后毕业的须取得住院医师规范化培训合格证书（全科）；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上海金山工业区社区卫生服务中心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临床医学（乡村医生）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2010年以后毕业的须取得住院医师规范化培训合格证书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取得护士执业资格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大专学历需具有本市户口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临床医学（乡村医生）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1.2010年以后毕业的须取得住院医师规范化培训合格证书（全科）；2.具有全科主治医师资格，年龄可适当放宽；3.具有相关工作经历者优先。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具有执业医师资格证书，且注册为中医全科专业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1.2010年以后毕业的须取得住院医师规范化培训合格证书（中医全科）；2.具有中医全科主治医师资格，年龄可适当放宽；3.具有相关工作经历者优先。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临床医学（乡村医生方向）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放射人员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具有放射技师及以上资格证书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外地户籍学历必须本科以上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具有中医全科执业医师资格证书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1.2010年以后毕业的须取得住院医师规范化培训合格证书（中医全科）；2.具有相关工作经历者优先。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198E"/>
    <w:rsid w:val="01A1198E"/>
    <w:rsid w:val="10E632E4"/>
    <w:rsid w:val="227D397E"/>
    <w:rsid w:val="561E5E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卫计委人事科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2018-08-02T05:38:00Z</dcterms:created>
  <dc:creator>高丹军</dc:creator>
  <cp:lastModifiedBy>上海中公-大白</cp:lastModifiedBy>
  <dcterms:modified xsi:type="dcterms:W3CDTF">2018-08-03T09:43:40Z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