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E9178E" w:rsidRPr="00E9178E" w:rsidTr="00E9178E">
        <w:trPr>
          <w:tblCellSpacing w:w="0" w:type="dxa"/>
        </w:trPr>
        <w:tc>
          <w:tcPr>
            <w:tcW w:w="0" w:type="auto"/>
            <w:vAlign w:val="center"/>
            <w:hideMark/>
          </w:tcPr>
          <w:tbl>
            <w:tblPr>
              <w:tblW w:w="4100" w:type="pct"/>
              <w:jc w:val="center"/>
              <w:tblCellSpacing w:w="0" w:type="dxa"/>
              <w:tblCellMar>
                <w:left w:w="0" w:type="dxa"/>
                <w:right w:w="0" w:type="dxa"/>
              </w:tblCellMar>
              <w:tblLook w:val="04A0"/>
            </w:tblPr>
            <w:tblGrid>
              <w:gridCol w:w="6811"/>
            </w:tblGrid>
            <w:tr w:rsidR="00E9178E" w:rsidRPr="00E9178E" w:rsidTr="00E9178E">
              <w:trPr>
                <w:trHeight w:val="600"/>
                <w:tblCellSpacing w:w="0" w:type="dxa"/>
                <w:jc w:val="center"/>
              </w:trPr>
              <w:tc>
                <w:tcPr>
                  <w:tcW w:w="0" w:type="auto"/>
                  <w:tcMar>
                    <w:top w:w="120" w:type="dxa"/>
                    <w:left w:w="240" w:type="dxa"/>
                    <w:bottom w:w="120" w:type="dxa"/>
                    <w:right w:w="240" w:type="dxa"/>
                  </w:tcMar>
                  <w:vAlign w:val="center"/>
                  <w:hideMark/>
                </w:tcPr>
                <w:p w:rsidR="00E9178E" w:rsidRPr="00E9178E" w:rsidRDefault="00E9178E" w:rsidP="00E9178E">
                  <w:pPr>
                    <w:widowControl/>
                    <w:spacing w:line="360" w:lineRule="atLeast"/>
                    <w:jc w:val="center"/>
                    <w:rPr>
                      <w:rFonts w:hAnsi="宋体"/>
                      <w:b/>
                      <w:bCs/>
                      <w:color w:val="000000"/>
                      <w:sz w:val="44"/>
                      <w:szCs w:val="44"/>
                    </w:rPr>
                  </w:pPr>
                  <w:r w:rsidRPr="00E9178E">
                    <w:rPr>
                      <w:rFonts w:hAnsi="宋体" w:hint="eastAsia"/>
                      <w:b/>
                      <w:bCs/>
                      <w:color w:val="000000"/>
                      <w:sz w:val="44"/>
                      <w:szCs w:val="44"/>
                    </w:rPr>
                    <w:t>江西师范大学</w:t>
                  </w:r>
                  <w:r w:rsidRPr="00E9178E">
                    <w:rPr>
                      <w:rFonts w:hAnsi="宋体"/>
                      <w:b/>
                      <w:bCs/>
                      <w:color w:val="000000"/>
                      <w:sz w:val="44"/>
                      <w:szCs w:val="44"/>
                    </w:rPr>
                    <w:t>引进高层次人才办法（2016年修订）</w:t>
                  </w:r>
                </w:p>
              </w:tc>
            </w:tr>
          </w:tbl>
          <w:p w:rsidR="00E9178E" w:rsidRPr="00E9178E" w:rsidRDefault="00E9178E" w:rsidP="00E9178E">
            <w:pPr>
              <w:widowControl/>
              <w:jc w:val="center"/>
              <w:rPr>
                <w:rFonts w:hAnsi="宋体"/>
                <w:vanish/>
                <w:color w:val="333333"/>
                <w:sz w:val="18"/>
                <w:szCs w:val="18"/>
              </w:rPr>
            </w:pPr>
          </w:p>
          <w:tbl>
            <w:tblPr>
              <w:tblW w:w="4100" w:type="pct"/>
              <w:jc w:val="center"/>
              <w:tblCellSpacing w:w="0" w:type="dxa"/>
              <w:tblCellMar>
                <w:left w:w="0" w:type="dxa"/>
                <w:right w:w="0" w:type="dxa"/>
              </w:tblCellMar>
              <w:tblLook w:val="04A0"/>
            </w:tblPr>
            <w:tblGrid>
              <w:gridCol w:w="6811"/>
            </w:tblGrid>
            <w:tr w:rsidR="00E9178E" w:rsidRPr="00E9178E">
              <w:trPr>
                <w:trHeight w:val="12"/>
                <w:tblCellSpacing w:w="0" w:type="dxa"/>
                <w:jc w:val="center"/>
              </w:trPr>
              <w:tc>
                <w:tcPr>
                  <w:tcW w:w="0" w:type="auto"/>
                  <w:vAlign w:val="center"/>
                  <w:hideMark/>
                </w:tcPr>
                <w:p w:rsidR="00E9178E" w:rsidRPr="00E9178E" w:rsidRDefault="00E9178E" w:rsidP="00E9178E">
                  <w:pPr>
                    <w:widowControl/>
                    <w:jc w:val="center"/>
                    <w:rPr>
                      <w:rFonts w:hAnsi="宋体"/>
                      <w:color w:val="333333"/>
                      <w:sz w:val="2"/>
                      <w:szCs w:val="18"/>
                    </w:rPr>
                  </w:pPr>
                </w:p>
              </w:tc>
            </w:tr>
          </w:tbl>
          <w:p w:rsidR="00E9178E" w:rsidRPr="00E9178E" w:rsidRDefault="00E9178E" w:rsidP="00E9178E">
            <w:pPr>
              <w:widowControl/>
              <w:jc w:val="center"/>
              <w:rPr>
                <w:rFonts w:hAnsi="宋体"/>
                <w:vanish/>
                <w:color w:val="333333"/>
                <w:sz w:val="18"/>
                <w:szCs w:val="18"/>
              </w:rPr>
            </w:pPr>
          </w:p>
          <w:tbl>
            <w:tblPr>
              <w:tblW w:w="4100" w:type="pct"/>
              <w:jc w:val="center"/>
              <w:tblCellSpacing w:w="0" w:type="dxa"/>
              <w:tblCellMar>
                <w:left w:w="0" w:type="dxa"/>
                <w:right w:w="0" w:type="dxa"/>
              </w:tblCellMar>
              <w:tblLook w:val="04A0"/>
            </w:tblPr>
            <w:tblGrid>
              <w:gridCol w:w="6811"/>
            </w:tblGrid>
            <w:tr w:rsidR="00E9178E" w:rsidRPr="00E9178E">
              <w:trPr>
                <w:trHeight w:val="336"/>
                <w:tblCellSpacing w:w="0" w:type="dxa"/>
                <w:jc w:val="center"/>
              </w:trPr>
              <w:tc>
                <w:tcPr>
                  <w:tcW w:w="0" w:type="auto"/>
                  <w:vAlign w:val="center"/>
                  <w:hideMark/>
                </w:tcPr>
                <w:p w:rsidR="00E9178E" w:rsidRPr="00E9178E" w:rsidRDefault="00E9178E" w:rsidP="00E9178E">
                  <w:pPr>
                    <w:widowControl/>
                    <w:jc w:val="center"/>
                    <w:rPr>
                      <w:rFonts w:hAnsi="宋体"/>
                      <w:color w:val="333333"/>
                      <w:sz w:val="18"/>
                      <w:szCs w:val="18"/>
                    </w:rPr>
                  </w:pPr>
                </w:p>
              </w:tc>
            </w:tr>
          </w:tbl>
          <w:p w:rsidR="00E9178E" w:rsidRPr="00E9178E" w:rsidRDefault="00E9178E" w:rsidP="00E9178E">
            <w:pPr>
              <w:widowControl/>
              <w:jc w:val="center"/>
              <w:rPr>
                <w:rFonts w:hAnsi="宋体"/>
                <w:vanish/>
                <w:color w:val="333333"/>
                <w:sz w:val="18"/>
                <w:szCs w:val="18"/>
              </w:rPr>
            </w:pPr>
          </w:p>
          <w:tbl>
            <w:tblPr>
              <w:tblW w:w="4486" w:type="pct"/>
              <w:jc w:val="center"/>
              <w:tblCellSpacing w:w="0" w:type="dxa"/>
              <w:tblCellMar>
                <w:left w:w="0" w:type="dxa"/>
                <w:right w:w="0" w:type="dxa"/>
              </w:tblCellMar>
              <w:tblLook w:val="04A0"/>
            </w:tblPr>
            <w:tblGrid>
              <w:gridCol w:w="7452"/>
            </w:tblGrid>
            <w:tr w:rsidR="00E9178E" w:rsidRPr="00E9178E" w:rsidTr="00E9178E">
              <w:trPr>
                <w:trHeight w:val="240"/>
                <w:tblCellSpacing w:w="0" w:type="dxa"/>
                <w:jc w:val="center"/>
              </w:trPr>
              <w:tc>
                <w:tcPr>
                  <w:tcW w:w="5000" w:type="pct"/>
                  <w:vAlign w:val="center"/>
                  <w:hideMark/>
                </w:tcPr>
                <w:p w:rsidR="00E9178E" w:rsidRPr="00E9178E" w:rsidRDefault="00E9178E" w:rsidP="00E9178E">
                  <w:pPr>
                    <w:widowControl/>
                    <w:jc w:val="center"/>
                    <w:rPr>
                      <w:rFonts w:hAnsi="宋体"/>
                      <w:color w:val="333333"/>
                      <w:sz w:val="18"/>
                      <w:szCs w:val="18"/>
                    </w:rPr>
                  </w:pPr>
                </w:p>
              </w:tc>
            </w:tr>
          </w:tbl>
          <w:p w:rsidR="00E9178E" w:rsidRPr="00E9178E" w:rsidRDefault="00E9178E" w:rsidP="00E9178E">
            <w:pPr>
              <w:widowControl/>
              <w:jc w:val="center"/>
              <w:rPr>
                <w:rFonts w:hAnsi="宋体"/>
                <w:color w:val="333333"/>
                <w:sz w:val="18"/>
                <w:szCs w:val="18"/>
              </w:rPr>
            </w:pPr>
          </w:p>
        </w:tc>
      </w:tr>
      <w:tr w:rsidR="00E9178E" w:rsidRPr="00E9178E" w:rsidTr="00E9178E">
        <w:trPr>
          <w:tblCellSpacing w:w="0" w:type="dxa"/>
        </w:trPr>
        <w:tc>
          <w:tcPr>
            <w:tcW w:w="0" w:type="auto"/>
            <w:hideMark/>
          </w:tcPr>
          <w:tbl>
            <w:tblPr>
              <w:tblW w:w="4885" w:type="pct"/>
              <w:jc w:val="center"/>
              <w:tblCellSpacing w:w="0" w:type="dxa"/>
              <w:tblCellMar>
                <w:left w:w="0" w:type="dxa"/>
                <w:right w:w="0" w:type="dxa"/>
              </w:tblCellMar>
              <w:tblLook w:val="04A0"/>
            </w:tblPr>
            <w:tblGrid>
              <w:gridCol w:w="8115"/>
            </w:tblGrid>
            <w:tr w:rsidR="00E9178E" w:rsidRPr="00E9178E" w:rsidTr="00E9178E">
              <w:trPr>
                <w:trHeight w:val="4320"/>
                <w:tblCellSpacing w:w="0" w:type="dxa"/>
                <w:jc w:val="center"/>
              </w:trPr>
              <w:tc>
                <w:tcPr>
                  <w:tcW w:w="5000" w:type="pct"/>
                  <w:hideMark/>
                </w:tcPr>
                <w:p w:rsidR="00E9178E" w:rsidRPr="00E9178E" w:rsidRDefault="00E9178E" w:rsidP="00E9178E">
                  <w:pPr>
                    <w:widowControl/>
                    <w:spacing w:line="408" w:lineRule="atLeast"/>
                    <w:jc w:val="center"/>
                    <w:rPr>
                      <w:rFonts w:hAnsi="宋体"/>
                      <w:color w:val="333333"/>
                      <w:szCs w:val="21"/>
                    </w:rPr>
                  </w:pP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为吸引优秀人才来校工作，服务学校学科（学位点）和专业建设，增强引才工作的针对性，进一步加强高层次人才队伍建设，提升教师队伍整体水平，特制定本办法。</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第一条  </w:t>
                  </w:r>
                  <w:r w:rsidRPr="00E9178E">
                    <w:rPr>
                      <w:rFonts w:ascii="仿宋_GB2312" w:eastAsia="仿宋_GB2312" w:hAnsi="宋体" w:hint="eastAsia"/>
                      <w:color w:val="000000"/>
                      <w:sz w:val="32"/>
                      <w:szCs w:val="32"/>
                    </w:rPr>
                    <w:t>引进的对象和条件</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（一）领军人才</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中国科学院院士、中国工程院院士、国务院学科评议组成员、长江学者特聘教授、国家杰出青年科学基金获得者、中组部千人计划专家等。</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（二）拔尖人才</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1、第一类人才（一般不超过55周岁）</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国家万人计划青年拔尖人才、长江学者青年学者项目人选、国家自然科学基金优秀青年科学基金项目获得者、国家自然（社会）科学基金学科评审组成员、教育部社会科学委员会委员、国家重点学科带头人、国家重点实验室（工程中心）负责人、国家有突出贡献的中青年专家、“百千万人才工程”国家级人选、国家级教学名师、国家自然（社会）科学基金重大项目负责人或“973”项目首席科学家，以成果第一完成人身份获国家科技三大奖（或特等奖前4名、一等奖前3名）、国家教学成果奖一等奖以上或在人文社会科学领域具有重要学术成就和影响的国内外公认的知名专家。</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lastRenderedPageBreak/>
                    <w:t>2、第二类人才（一般不超过50周岁）</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中国科学院“百人计划”人选、教育部“新世纪优秀人才支持计划”入选者、教育部“高校青年教师奖”获得者；全国百篇优秀博士学位论文获得者、井冈学者或其他省（市）教育主管部门实施的“学者计划”特聘教授、省（市）委人才工作领导小组实施的人才工程人选、省级学科学术带头人；重点院校具有教授职务的优秀博士生导师，</w:t>
                  </w:r>
                  <w:r w:rsidRPr="00E9178E">
                    <w:rPr>
                      <w:rFonts w:ascii="仿宋_GB2312" w:eastAsia="仿宋_GB2312" w:hAnsi="宋体" w:hint="eastAsia"/>
                      <w:color w:val="333333"/>
                      <w:sz w:val="32"/>
                      <w:szCs w:val="32"/>
                    </w:rPr>
                    <w:t>以成果第一完成人获得省（部）级科技三大奖一等奖或省（部）级人文社科优秀成果一等奖；</w:t>
                  </w:r>
                  <w:r w:rsidRPr="00E9178E">
                    <w:rPr>
                      <w:rFonts w:ascii="仿宋_GB2312" w:eastAsia="仿宋_GB2312" w:hAnsi="宋体" w:hint="eastAsia"/>
                      <w:color w:val="000000"/>
                      <w:sz w:val="32"/>
                      <w:szCs w:val="32"/>
                    </w:rPr>
                    <w:t>中国美术金彩奖获得者、中国书法兰亭奖获得者、中国音乐金钟奖获得者、全国中青年德艺双馨文艺工作者或</w:t>
                  </w:r>
                  <w:r w:rsidRPr="00E9178E">
                    <w:rPr>
                      <w:rFonts w:ascii="仿宋_GB2312" w:eastAsia="仿宋_GB2312" w:hAnsi="宋体" w:hint="eastAsia"/>
                      <w:color w:val="333333"/>
                      <w:sz w:val="32"/>
                      <w:szCs w:val="32"/>
                    </w:rPr>
                    <w:t>近3年内</w:t>
                  </w:r>
                  <w:r w:rsidRPr="00E9178E">
                    <w:rPr>
                      <w:rFonts w:ascii="仿宋_GB2312" w:eastAsia="仿宋_GB2312" w:hAnsi="宋体" w:hint="eastAsia"/>
                      <w:color w:val="000000"/>
                      <w:sz w:val="32"/>
                      <w:szCs w:val="32"/>
                    </w:rPr>
                    <w:t>个人美术、摄影作品入选国家级美术、摄影展并获得银奖（二等奖）以上者，或个人参加国家级音乐、舞蹈比赛获得银奖（二等奖）以上者，或个人参加国家级体育比赛进入前3名者。</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3、第三类人才（一般不超过45周岁）</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近3年内在《中国社会科学》发表学术论文1篇；近3年内个人美术、摄影作品入选国家级美术、摄影展获得铜奖（三等奖）以上或个人参加国家级音乐、舞蹈比赛获得铜奖（三等奖）以上或个人参加国家级体育比赛进入前6名；或近3年业绩同时符合下列条件的博士（博士后）或教授（研究员）：</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（1）主持完成国家级科研项目1项；</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（2）人文社科类：以第一作者署名在《江西师范大学学术期刊目录》认定的A类专业期刊上发表本专业高水平学术论文3篇（音乐、美术学科2篇），其中以第一作者</w:t>
                  </w:r>
                  <w:r w:rsidRPr="00E9178E">
                    <w:rPr>
                      <w:rFonts w:ascii="仿宋_GB2312" w:eastAsia="仿宋_GB2312" w:hAnsi="宋体" w:hint="eastAsia"/>
                      <w:color w:val="000000"/>
                      <w:sz w:val="32"/>
                      <w:szCs w:val="32"/>
                    </w:rPr>
                    <w:lastRenderedPageBreak/>
                    <w:t>署名发表权威期刊论文1篇；理工科类：以第一作者署名在 SCI 分区表中列为 2 区的杂志上发表学术论文（以中科院文献情报中心发布的大类分区表为准，下同）至少1篇；</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（3）以第一完成人获得省（部）级科研成果奖二等奖以上的奖励1项。</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（三）博士（一般不超过35周岁）</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1、第四类人才</w:t>
                  </w:r>
                </w:p>
                <w:p w:rsidR="00E9178E" w:rsidRPr="00E9178E" w:rsidRDefault="00E9178E" w:rsidP="00E9178E">
                  <w:pPr>
                    <w:widowControl/>
                    <w:spacing w:line="540" w:lineRule="exact"/>
                    <w:ind w:left="420" w:firstLineChars="68" w:firstLine="218"/>
                    <w:jc w:val="left"/>
                    <w:rPr>
                      <w:rFonts w:hAnsi="宋体"/>
                      <w:color w:val="333333"/>
                      <w:sz w:val="24"/>
                      <w:szCs w:val="24"/>
                    </w:rPr>
                  </w:pPr>
                  <w:r w:rsidRPr="00E9178E">
                    <w:rPr>
                      <w:rFonts w:ascii="仿宋_GB2312" w:eastAsia="仿宋_GB2312" w:hAnsi="宋体" w:hint="eastAsia"/>
                      <w:color w:val="000000"/>
                      <w:sz w:val="32"/>
                      <w:szCs w:val="32"/>
                    </w:rPr>
                    <w:t>（1）学校紧缺急需专业的985大学或中科院以及音、体、美等高水平专门院校毕业的博士（后）；</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2）近3年内主持过省部级以上科研项目或参加过国家级科研项目研究（凭立项证明或鉴定、结题证明）或获得省部级以上科研成果奖奖励（凭奖励证书），同时近3年内还符合以下所述论文条件的国内985、211大学或中科院以及音、体、美等高水平专门院校优秀博士（后）：</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①理工类：以第一作者署名在SCI、EI收录的杂志上发表论文6篇（其中化学学科需在SCI分区表中列为2区的杂志上发表学术论文3篇，生物、生态、物理学科需在SCI分区表中列为2区的杂志上发表学术论文2篇）；或以第一作者署名在SCI分区表中列为1区的杂志上发表论文1篇；或以第一作者署名发表的单篇论文被SCI引用20次以上；</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②人文社科类：以第一作者署名发表权威期刊论文1篇；或以第一作者署名在《江西师范大学学术期刊目录》认定的A类专业期刊上发表本专业高水平学术论文至少2</w:t>
                  </w:r>
                  <w:r w:rsidRPr="00E9178E">
                    <w:rPr>
                      <w:rFonts w:ascii="仿宋_GB2312" w:eastAsia="仿宋_GB2312" w:hAnsi="宋体" w:hint="eastAsia"/>
                      <w:color w:val="000000"/>
                      <w:sz w:val="32"/>
                      <w:szCs w:val="32"/>
                    </w:rPr>
                    <w:lastRenderedPageBreak/>
                    <w:t>篇，其中心理学科至少发表权威期刊论文1篇。</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（3）近三年内立项主持国家级课题的博士（后）。</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2、第五类人才</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学校需要的其他博士。</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（四）实践应用性高级人才</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在工程技术、文化艺术等实践领域，业界连续工作10年以上，曾任国内外知名企业或业务单位的项目主管及以上职务，具有硕士以上学位且具有副高级职称或相当的水平和能力，年龄在40周岁以下，如为学校特殊专业教学急需，可比照第五类人才方式引进。</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第二条  </w:t>
                  </w:r>
                  <w:r w:rsidRPr="00E9178E">
                    <w:rPr>
                      <w:rFonts w:ascii="仿宋_GB2312" w:eastAsia="仿宋_GB2312" w:hAnsi="宋体" w:hint="eastAsia"/>
                      <w:color w:val="000000"/>
                      <w:sz w:val="32"/>
                      <w:szCs w:val="32"/>
                    </w:rPr>
                    <w:t>引进待遇</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学校为全职在我校工作的引进人才提供安家费、科研资助费、工作住房（过渡房）等，标准见《全职引进人才享受优惠待遇参照表》（税前）。人才年薪为：第一、二类人才聘期内享受实际受聘岗位工资福利待遇外，在首个引进聘期额外再享受引进人才津贴；第三、四类人才中的业绩特别优秀者在首个引进聘期可额外享受引进人才津贴；第五类人才聘期前三年可校内享受副高七级岗位的绩效工资待遇。</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应聘非教学科研岗的高层次人才，不享受科研资助费，绩效工资待遇按实际受聘岗位享受。</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对第四、五类人才实行试用期制，试用期3个月，试用期期满正式受聘并开始享受各项人才引进待遇。</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第三条  </w:t>
                  </w:r>
                  <w:r w:rsidRPr="00E9178E">
                    <w:rPr>
                      <w:rFonts w:ascii="仿宋_GB2312" w:eastAsia="仿宋_GB2312" w:hAnsi="宋体" w:hint="eastAsia"/>
                      <w:color w:val="000000"/>
                      <w:sz w:val="32"/>
                      <w:szCs w:val="32"/>
                    </w:rPr>
                    <w:t>配偶安置</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学校按以下规定解决配偶工作，其中配偶在本市工作</w:t>
                  </w:r>
                  <w:r w:rsidRPr="00E9178E">
                    <w:rPr>
                      <w:rFonts w:ascii="仿宋_GB2312" w:eastAsia="仿宋_GB2312" w:hAnsi="宋体" w:hint="eastAsia"/>
                      <w:color w:val="000000"/>
                      <w:sz w:val="32"/>
                      <w:szCs w:val="32"/>
                    </w:rPr>
                    <w:lastRenderedPageBreak/>
                    <w:t>的除外。</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（一）领军/拔尖人才</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1、配偶为事业编制人员，人事关系调入学校；</w:t>
                  </w:r>
                  <w:r w:rsidRPr="00E9178E">
                    <w:rPr>
                      <w:rFonts w:ascii="仿宋_GB2312" w:eastAsia="仿宋_GB2312" w:hAnsi="宋体" w:hint="eastAsia"/>
                      <w:color w:val="333333"/>
                      <w:sz w:val="32"/>
                      <w:szCs w:val="32"/>
                    </w:rPr>
                    <w:t>配偶具有普通高等学校全日制本科及以上学历且具有相应学位的，可安排工作，</w:t>
                  </w:r>
                  <w:r w:rsidRPr="00E9178E">
                    <w:rPr>
                      <w:rFonts w:ascii="仿宋_GB2312" w:eastAsia="仿宋_GB2312" w:hAnsi="宋体" w:hint="eastAsia"/>
                      <w:color w:val="000000"/>
                      <w:sz w:val="32"/>
                      <w:szCs w:val="32"/>
                    </w:rPr>
                    <w:t>享受学校同工同酬非事业</w:t>
                  </w:r>
                  <w:r w:rsidRPr="00E9178E">
                    <w:rPr>
                      <w:rFonts w:ascii="仿宋_GB2312" w:eastAsia="仿宋_GB2312" w:hAnsi="宋体" w:hint="eastAsia"/>
                      <w:color w:val="333333"/>
                      <w:sz w:val="32"/>
                      <w:szCs w:val="32"/>
                    </w:rPr>
                    <w:t>编制</w:t>
                  </w:r>
                  <w:r w:rsidRPr="00E9178E">
                    <w:rPr>
                      <w:rFonts w:ascii="仿宋_GB2312" w:eastAsia="仿宋_GB2312" w:hAnsi="宋体" w:hint="eastAsia"/>
                      <w:color w:val="000000"/>
                      <w:sz w:val="32"/>
                      <w:szCs w:val="32"/>
                    </w:rPr>
                    <w:t>人员待遇；</w:t>
                  </w:r>
                  <w:r w:rsidRPr="00E9178E">
                    <w:rPr>
                      <w:rFonts w:ascii="仿宋_GB2312" w:eastAsia="仿宋_GB2312" w:hAnsi="宋体" w:hint="eastAsia"/>
                      <w:color w:val="333333"/>
                      <w:sz w:val="32"/>
                      <w:szCs w:val="32"/>
                    </w:rPr>
                    <w:t>配偶未具有普通高等学校全日制本科及以上学历、学位的，</w:t>
                  </w:r>
                  <w:r w:rsidRPr="00E9178E">
                    <w:rPr>
                      <w:rFonts w:ascii="仿宋_GB2312" w:eastAsia="仿宋_GB2312" w:hAnsi="宋体" w:hint="eastAsia"/>
                      <w:color w:val="000000"/>
                      <w:sz w:val="32"/>
                      <w:szCs w:val="32"/>
                    </w:rPr>
                    <w:t>学校推荐安排临时用工。</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2、待业在家的，也可在聘期内发放生活补助1000元人民币/月，补贴时间为5年。</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（二）博士</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1、紧缺急需专业（1类）的985大学或中科院以及音、体、美等高水平专门院校毕业的博士（后）：</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333333"/>
                      <w:sz w:val="32"/>
                      <w:szCs w:val="32"/>
                    </w:rPr>
                    <w:t>（1）</w:t>
                  </w:r>
                  <w:r w:rsidRPr="00E9178E">
                    <w:rPr>
                      <w:rFonts w:ascii="仿宋_GB2312" w:eastAsia="仿宋_GB2312" w:hAnsi="宋体" w:hint="eastAsia"/>
                      <w:color w:val="000000"/>
                      <w:sz w:val="32"/>
                      <w:szCs w:val="32"/>
                    </w:rPr>
                    <w:t>配偶为事业编制人员，人事关系调入学校；</w:t>
                  </w:r>
                  <w:r w:rsidRPr="00E9178E">
                    <w:rPr>
                      <w:rFonts w:ascii="仿宋_GB2312" w:eastAsia="仿宋_GB2312" w:hAnsi="宋体" w:hint="eastAsia"/>
                      <w:color w:val="333333"/>
                      <w:sz w:val="32"/>
                      <w:szCs w:val="32"/>
                    </w:rPr>
                    <w:t>配偶具有普通高等学校全日制本科及以上学历且具有相应学位的，可安排工作，</w:t>
                  </w:r>
                  <w:r w:rsidRPr="00E9178E">
                    <w:rPr>
                      <w:rFonts w:ascii="仿宋_GB2312" w:eastAsia="仿宋_GB2312" w:hAnsi="宋体" w:hint="eastAsia"/>
                      <w:color w:val="000000"/>
                      <w:sz w:val="32"/>
                      <w:szCs w:val="32"/>
                    </w:rPr>
                    <w:t>享受学校同工同酬非事业</w:t>
                  </w:r>
                  <w:r w:rsidRPr="00E9178E">
                    <w:rPr>
                      <w:rFonts w:ascii="仿宋_GB2312" w:eastAsia="仿宋_GB2312" w:hAnsi="宋体" w:hint="eastAsia"/>
                      <w:color w:val="333333"/>
                      <w:sz w:val="32"/>
                      <w:szCs w:val="32"/>
                    </w:rPr>
                    <w:t>编制</w:t>
                  </w:r>
                  <w:r w:rsidRPr="00E9178E">
                    <w:rPr>
                      <w:rFonts w:ascii="仿宋_GB2312" w:eastAsia="仿宋_GB2312" w:hAnsi="宋体" w:hint="eastAsia"/>
                      <w:color w:val="000000"/>
                      <w:sz w:val="32"/>
                      <w:szCs w:val="32"/>
                    </w:rPr>
                    <w:t>人员待遇；</w:t>
                  </w:r>
                  <w:r w:rsidRPr="00E9178E">
                    <w:rPr>
                      <w:rFonts w:ascii="仿宋_GB2312" w:eastAsia="仿宋_GB2312" w:hAnsi="宋体" w:hint="eastAsia"/>
                      <w:color w:val="333333"/>
                      <w:sz w:val="32"/>
                      <w:szCs w:val="32"/>
                    </w:rPr>
                    <w:t>配偶未具有普通高等学校全日制本科及以上学历、学位的，</w:t>
                  </w:r>
                  <w:r w:rsidRPr="00E9178E">
                    <w:rPr>
                      <w:rFonts w:ascii="仿宋_GB2312" w:eastAsia="仿宋_GB2312" w:hAnsi="宋体" w:hint="eastAsia"/>
                      <w:color w:val="000000"/>
                      <w:sz w:val="32"/>
                      <w:szCs w:val="32"/>
                    </w:rPr>
                    <w:t>学校推荐安排临时用工；</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333333"/>
                      <w:sz w:val="32"/>
                      <w:szCs w:val="32"/>
                    </w:rPr>
                    <w:t>（2）</w:t>
                  </w:r>
                  <w:r w:rsidRPr="00E9178E">
                    <w:rPr>
                      <w:rFonts w:ascii="仿宋_GB2312" w:eastAsia="仿宋_GB2312" w:hAnsi="宋体" w:hint="eastAsia"/>
                      <w:color w:val="000000"/>
                      <w:sz w:val="32"/>
                      <w:szCs w:val="32"/>
                    </w:rPr>
                    <w:t>待业在家的，在聘期内发放生活补助1000元人民币/月，补贴时间为5年。</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333333"/>
                      <w:sz w:val="32"/>
                      <w:szCs w:val="32"/>
                    </w:rPr>
                    <w:t>（3）配偶享受了安置政策的（</w:t>
                  </w:r>
                  <w:r w:rsidRPr="00E9178E">
                    <w:rPr>
                      <w:rFonts w:ascii="仿宋_GB2312" w:eastAsia="仿宋_GB2312" w:hAnsi="宋体" w:hint="eastAsia"/>
                      <w:color w:val="000000"/>
                      <w:sz w:val="32"/>
                      <w:szCs w:val="32"/>
                    </w:rPr>
                    <w:t>同工同酬非事业</w:t>
                  </w:r>
                  <w:r w:rsidRPr="00E9178E">
                    <w:rPr>
                      <w:rFonts w:ascii="仿宋_GB2312" w:eastAsia="仿宋_GB2312" w:hAnsi="宋体" w:hint="eastAsia"/>
                      <w:color w:val="333333"/>
                      <w:sz w:val="32"/>
                      <w:szCs w:val="32"/>
                    </w:rPr>
                    <w:t>编制</w:t>
                  </w:r>
                  <w:r w:rsidRPr="00E9178E">
                    <w:rPr>
                      <w:rFonts w:ascii="仿宋_GB2312" w:eastAsia="仿宋_GB2312" w:hAnsi="宋体" w:hint="eastAsia"/>
                      <w:color w:val="000000"/>
                      <w:sz w:val="32"/>
                      <w:szCs w:val="32"/>
                    </w:rPr>
                    <w:t>人员</w:t>
                  </w:r>
                  <w:r w:rsidRPr="00E9178E">
                    <w:rPr>
                      <w:rFonts w:ascii="仿宋_GB2312" w:eastAsia="仿宋_GB2312" w:hAnsi="宋体" w:hint="eastAsia"/>
                      <w:color w:val="333333"/>
                      <w:sz w:val="32"/>
                      <w:szCs w:val="32"/>
                    </w:rPr>
                    <w:t>、享受生活补贴人员），其安家费减半，其他待遇不变。</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2、紧缺急需专业（1类）以外的第四、五类层次人才，学校不安排其配偶工作，也不发放生活补贴；但其来校工作后，可依据学校高层次人才配偶安置办法，申请安置。</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第四条  </w:t>
                  </w:r>
                  <w:r w:rsidRPr="00E9178E">
                    <w:rPr>
                      <w:rFonts w:ascii="仿宋_GB2312" w:eastAsia="仿宋_GB2312" w:hAnsi="宋体" w:hint="eastAsia"/>
                      <w:color w:val="000000"/>
                      <w:sz w:val="32"/>
                      <w:szCs w:val="32"/>
                    </w:rPr>
                    <w:t>安家费在来校报到后的当年支付一次性部</w:t>
                  </w:r>
                  <w:r w:rsidRPr="00E9178E">
                    <w:rPr>
                      <w:rFonts w:ascii="仿宋_GB2312" w:eastAsia="仿宋_GB2312" w:hAnsi="宋体" w:hint="eastAsia"/>
                      <w:color w:val="000000"/>
                      <w:sz w:val="32"/>
                      <w:szCs w:val="32"/>
                    </w:rPr>
                    <w:lastRenderedPageBreak/>
                    <w:t>分，其余部分按服务期限分年度平均支付</w:t>
                  </w:r>
                  <w:r w:rsidRPr="00E9178E">
                    <w:rPr>
                      <w:rFonts w:ascii="仿宋_GB2312" w:eastAsia="仿宋_GB2312" w:hAnsi="宋体" w:hint="eastAsia"/>
                      <w:color w:val="333333"/>
                      <w:sz w:val="32"/>
                      <w:szCs w:val="32"/>
                    </w:rPr>
                    <w:t>或予以全部预借购房</w:t>
                  </w:r>
                  <w:r w:rsidRPr="00E9178E">
                    <w:rPr>
                      <w:rFonts w:ascii="仿宋_GB2312" w:eastAsia="仿宋_GB2312" w:hAnsi="宋体" w:hint="eastAsia"/>
                      <w:color w:val="000000"/>
                      <w:sz w:val="32"/>
                      <w:szCs w:val="32"/>
                    </w:rPr>
                    <w:t>。</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第五条  </w:t>
                  </w:r>
                  <w:r w:rsidRPr="00E9178E">
                    <w:rPr>
                      <w:rFonts w:ascii="仿宋_GB2312" w:eastAsia="仿宋_GB2312" w:hAnsi="宋体" w:hint="eastAsia"/>
                      <w:color w:val="000000"/>
                      <w:sz w:val="32"/>
                      <w:szCs w:val="32"/>
                    </w:rPr>
                    <w:t>第四类及以上人才层次的评定和待遇的确定，可根据本办法和引进人才的实际，采用一人一议模式，在《全职引进人才享受优惠待遇参照表》区间内上下合理调整，并在协议中予以明确。有标志性重要成果的优秀人才可参照以上条件特殊办理。院士的各项待遇面议。</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第六条  </w:t>
                  </w:r>
                  <w:r w:rsidRPr="00E9178E">
                    <w:rPr>
                      <w:rFonts w:ascii="仿宋_GB2312" w:eastAsia="仿宋_GB2312" w:hAnsi="宋体" w:hint="eastAsia"/>
                      <w:color w:val="000000"/>
                      <w:sz w:val="32"/>
                      <w:szCs w:val="32"/>
                    </w:rPr>
                    <w:t>拟引进的人才如其符合学校学科特区引进人才相关条件，还可按《江西师范大学学科特区人才引进与管理暂行办法》享受相关待遇。</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第七条  </w:t>
                  </w:r>
                  <w:r w:rsidRPr="00E9178E">
                    <w:rPr>
                      <w:rFonts w:ascii="仿宋_GB2312" w:eastAsia="仿宋_GB2312" w:hAnsi="宋体" w:hint="eastAsia"/>
                      <w:color w:val="000000"/>
                      <w:sz w:val="32"/>
                      <w:szCs w:val="32"/>
                    </w:rPr>
                    <w:t>引进程序</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每年9月，各学院（单位）根据本单位编制、学科建设中长期规划及学科梯队建设的需要，以“需要为本、急需为先”的原则合理制定引进人才年度计划报学校审批。年度计划应重点引进对学科、学位点建设起主要作用的学科带头人和学术骨干。</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学校审批并确定进人计划，通过网络等各种形式对外公布。各学院（单位）应根据学校下达的计划，积极对外宣传、联系。</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应聘者填写《江西师范大学拟引进高层次人才申请表》并提供个人简历、身份证</w:t>
                  </w:r>
                  <w:r w:rsidRPr="00E9178E">
                    <w:rPr>
                      <w:rFonts w:ascii="仿宋_GB2312" w:eastAsia="仿宋_GB2312" w:hAnsi="宋体" w:hint="eastAsia"/>
                      <w:b/>
                      <w:bCs/>
                      <w:color w:val="000000"/>
                      <w:sz w:val="32"/>
                    </w:rPr>
                    <w:t>、</w:t>
                  </w:r>
                  <w:r w:rsidRPr="00E9178E">
                    <w:rPr>
                      <w:rFonts w:ascii="仿宋_GB2312" w:eastAsia="仿宋_GB2312" w:hAnsi="宋体" w:hint="eastAsia"/>
                      <w:color w:val="000000"/>
                      <w:sz w:val="32"/>
                      <w:szCs w:val="32"/>
                    </w:rPr>
                    <w:t>学历学位证书、职称证书及聘书、能证明学术水平的代表性成果和有关证明材料等复印件给引进单位。</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各用人单位组织学术委员会对应聘者的思想表现、敬业精神、团结协作、工作能力、教学水平、科研能力、身</w:t>
                  </w:r>
                  <w:r w:rsidRPr="00E9178E">
                    <w:rPr>
                      <w:rFonts w:ascii="仿宋_GB2312" w:eastAsia="仿宋_GB2312" w:hAnsi="宋体" w:hint="eastAsia"/>
                      <w:color w:val="000000"/>
                      <w:sz w:val="32"/>
                      <w:szCs w:val="32"/>
                    </w:rPr>
                    <w:lastRenderedPageBreak/>
                    <w:t>体状况及家庭情况等进行逐一考核，提出拟引进意见，经学院党政联席会议讨论通过后，将《江西师范大学拟引进高层次人才申请表》及相关材料复印件报送学校人事处，第一至三类人才由学校高层次人才招聘办公室、人事处提出审核意见后，提交学校拔尖人才工作领导小组进行评定（需要学校学术委员会认定的还需先通过校学术委员会评议），提出是否引进及引进人才类别的建议后，提交校党委会审议。第四、五类人才由人事处报呈分管人事校领导和校长审批。</w:t>
                  </w:r>
                </w:p>
                <w:p w:rsidR="00E9178E" w:rsidRPr="00E9178E" w:rsidRDefault="00E9178E" w:rsidP="00E9178E">
                  <w:pPr>
                    <w:widowControl/>
                    <w:spacing w:line="540" w:lineRule="exact"/>
                    <w:ind w:firstLineChars="200" w:firstLine="640"/>
                    <w:jc w:val="left"/>
                    <w:rPr>
                      <w:rFonts w:hAnsi="宋体"/>
                      <w:color w:val="333333"/>
                      <w:sz w:val="24"/>
                      <w:szCs w:val="24"/>
                    </w:rPr>
                  </w:pPr>
                  <w:r w:rsidRPr="00E9178E">
                    <w:rPr>
                      <w:rFonts w:ascii="仿宋_GB2312" w:eastAsia="仿宋_GB2312" w:hAnsi="宋体" w:hint="eastAsia"/>
                      <w:color w:val="000000"/>
                      <w:sz w:val="32"/>
                      <w:szCs w:val="32"/>
                    </w:rPr>
                    <w:t>院士等特别优秀人才，在引进程序上从便从简，特事特办。</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第八条  </w:t>
                  </w:r>
                  <w:r w:rsidRPr="00E9178E">
                    <w:rPr>
                      <w:rFonts w:ascii="仿宋_GB2312" w:eastAsia="仿宋_GB2312" w:hAnsi="宋体" w:hint="eastAsia"/>
                      <w:color w:val="000000"/>
                      <w:sz w:val="32"/>
                      <w:szCs w:val="32"/>
                    </w:rPr>
                    <w:t>学校鼓励用人单位根据本单位实际情况对引进人才予以一定的优惠待遇配套，优惠待遇须经单位集体决定并报告学校，所需经费由用人单位自行解决。</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第九条  </w:t>
                  </w:r>
                  <w:r w:rsidRPr="00E9178E">
                    <w:rPr>
                      <w:rFonts w:ascii="仿宋_GB2312" w:eastAsia="仿宋_GB2312" w:hAnsi="宋体" w:hint="eastAsia"/>
                      <w:color w:val="000000"/>
                      <w:sz w:val="32"/>
                      <w:szCs w:val="32"/>
                    </w:rPr>
                    <w:t>学校紧缺急需专业的认定，由学校在每年制定人才需求计划时确定。</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第十条  </w:t>
                  </w:r>
                  <w:r w:rsidRPr="00E9178E">
                    <w:rPr>
                      <w:rFonts w:ascii="仿宋_GB2312" w:eastAsia="仿宋_GB2312" w:hAnsi="宋体" w:hint="eastAsia"/>
                      <w:color w:val="000000"/>
                      <w:sz w:val="32"/>
                      <w:szCs w:val="32"/>
                    </w:rPr>
                    <w:t>学校帮助、协调解决引进人才的子女就读中、小学问题。</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第十一条  </w:t>
                  </w:r>
                  <w:r w:rsidRPr="00E9178E">
                    <w:rPr>
                      <w:rFonts w:ascii="仿宋_GB2312" w:eastAsia="仿宋_GB2312" w:hAnsi="宋体" w:hint="eastAsia"/>
                      <w:color w:val="000000"/>
                      <w:sz w:val="32"/>
                      <w:szCs w:val="32"/>
                    </w:rPr>
                    <w:t>学校鼓励以合作科研、带项目进校、定期讲学、编制外聘用等灵活方式柔性引进高层次人才，有关引进方式及待遇通过协商并按签订协议执行。</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第十二条  </w:t>
                  </w:r>
                  <w:r w:rsidRPr="00E9178E">
                    <w:rPr>
                      <w:rFonts w:ascii="仿宋_GB2312" w:eastAsia="仿宋_GB2312" w:hAnsi="宋体" w:hint="eastAsia"/>
                      <w:color w:val="000000"/>
                      <w:sz w:val="32"/>
                      <w:szCs w:val="32"/>
                    </w:rPr>
                    <w:t>学校鼓励“拔尖人才+学科团队”的人才引进模式。对各类高层次人才的引进要充分听取团队和学科（方向）带头人的意见。</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第十三条  </w:t>
                  </w:r>
                  <w:r w:rsidRPr="00E9178E">
                    <w:rPr>
                      <w:rFonts w:ascii="仿宋_GB2312" w:eastAsia="仿宋_GB2312" w:hAnsi="宋体" w:hint="eastAsia"/>
                      <w:color w:val="000000"/>
                      <w:sz w:val="32"/>
                      <w:szCs w:val="32"/>
                    </w:rPr>
                    <w:t>引进的人才，服务期未满且因个人原因调</w:t>
                  </w:r>
                  <w:r w:rsidRPr="00E9178E">
                    <w:rPr>
                      <w:rFonts w:ascii="仿宋_GB2312" w:eastAsia="仿宋_GB2312" w:hAnsi="宋体" w:hint="eastAsia"/>
                      <w:color w:val="000000"/>
                      <w:sz w:val="32"/>
                      <w:szCs w:val="32"/>
                    </w:rPr>
                    <w:lastRenderedPageBreak/>
                    <w:t>离学校的，应按照所签订协议的有关规定承担相应责任，并按照所签订协议的有关规定予以退还部分优惠待遇。</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第十四条</w:t>
                  </w:r>
                  <w:r w:rsidRPr="00E9178E">
                    <w:rPr>
                      <w:rFonts w:ascii="仿宋_GB2312" w:eastAsia="仿宋_GB2312" w:hAnsi="宋体" w:hint="eastAsia"/>
                      <w:color w:val="000000"/>
                      <w:sz w:val="32"/>
                      <w:szCs w:val="32"/>
                    </w:rPr>
                    <w:t xml:space="preserve"> 引进的人才调离学校，其配偶享受了学校安置政策的，其配偶应同时调离（解聘、停发生活补贴）。</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第十五条  </w:t>
                  </w:r>
                  <w:r w:rsidRPr="00E9178E">
                    <w:rPr>
                      <w:rFonts w:ascii="仿宋_GB2312" w:eastAsia="仿宋_GB2312" w:hAnsi="宋体" w:hint="eastAsia"/>
                      <w:color w:val="000000"/>
                      <w:sz w:val="32"/>
                      <w:szCs w:val="32"/>
                    </w:rPr>
                    <w:t>各单位要为引进人才营造良好的工作氛围，充分发挥其作用，并负责考核引进人才的预期工作目标、任务，加强聘后管理。学校将按照双方签订的协议和有关规定加强对引进人才的跟踪管理和考核。</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第十六条  </w:t>
                  </w:r>
                  <w:r w:rsidRPr="00E9178E">
                    <w:rPr>
                      <w:rFonts w:ascii="仿宋_GB2312" w:eastAsia="仿宋_GB2312" w:hAnsi="宋体" w:hint="eastAsia"/>
                      <w:color w:val="000000"/>
                      <w:sz w:val="32"/>
                      <w:szCs w:val="32"/>
                    </w:rPr>
                    <w:t>实施人才引进工作考核责任制。人才引进工作任务的落实情况作为学校对各单位包括领导班子和领导干部考核的重要内容，人才引进工作纳入各学院的年度目标完成情况计分体系，对于成功引荐院士以及第一至三类人才以及海外留学归国博士（后）全职到校工作的根据计分办法给予加分，并与学院当年绩效工资分配直接挂钩。</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第十七条  </w:t>
                  </w:r>
                  <w:r w:rsidRPr="00E9178E">
                    <w:rPr>
                      <w:rFonts w:ascii="仿宋_GB2312" w:eastAsia="仿宋_GB2312" w:hAnsi="宋体" w:hint="eastAsia"/>
                      <w:color w:val="000000"/>
                      <w:sz w:val="32"/>
                      <w:szCs w:val="32"/>
                    </w:rPr>
                    <w:t>学校设立人才引进工作奖，对在人才引进工作中作出突出贡献的单位、个人予以表彰奖励。</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 xml:space="preserve">第十八条  </w:t>
                  </w:r>
                  <w:r w:rsidRPr="00E9178E">
                    <w:rPr>
                      <w:rFonts w:ascii="仿宋_GB2312" w:eastAsia="仿宋_GB2312" w:hAnsi="宋体" w:hint="eastAsia"/>
                      <w:color w:val="000000"/>
                      <w:sz w:val="32"/>
                      <w:szCs w:val="32"/>
                    </w:rPr>
                    <w:t>科研资助费、安家费等按引进人才报到时确定的类别予以兑现，今后不再因人才类别的变化而调整。</w:t>
                  </w:r>
                </w:p>
                <w:p w:rsidR="00E9178E" w:rsidRPr="00E9178E" w:rsidRDefault="00E9178E" w:rsidP="00E9178E">
                  <w:pPr>
                    <w:widowControl/>
                    <w:spacing w:line="540" w:lineRule="exact"/>
                    <w:ind w:firstLineChars="200" w:firstLine="643"/>
                    <w:jc w:val="left"/>
                    <w:rPr>
                      <w:rFonts w:hAnsi="宋体"/>
                      <w:color w:val="333333"/>
                      <w:sz w:val="24"/>
                      <w:szCs w:val="24"/>
                    </w:rPr>
                  </w:pPr>
                  <w:r w:rsidRPr="00E9178E">
                    <w:rPr>
                      <w:rFonts w:ascii="仿宋_GB2312" w:eastAsia="仿宋_GB2312" w:hAnsi="宋体" w:hint="eastAsia"/>
                      <w:b/>
                      <w:color w:val="000000"/>
                      <w:sz w:val="32"/>
                    </w:rPr>
                    <w:t>第十九条</w:t>
                  </w:r>
                  <w:r w:rsidRPr="00E9178E">
                    <w:rPr>
                      <w:rFonts w:ascii="仿宋_GB2312" w:eastAsia="仿宋_GB2312" w:hAnsi="宋体" w:hint="eastAsia"/>
                      <w:color w:val="000000"/>
                      <w:sz w:val="32"/>
                      <w:szCs w:val="32"/>
                    </w:rPr>
                    <w:t xml:space="preserve">  海外高层次人才引进待遇根据学校招聘公告和高层次人才业绩，采取“一人一议”方式确定。</w:t>
                  </w:r>
                </w:p>
                <w:p w:rsidR="00E9178E" w:rsidRPr="00E9178E" w:rsidRDefault="00E9178E" w:rsidP="00E9178E">
                  <w:pPr>
                    <w:widowControl/>
                    <w:spacing w:line="408" w:lineRule="atLeast"/>
                    <w:jc w:val="left"/>
                    <w:rPr>
                      <w:rFonts w:hAnsi="宋体"/>
                      <w:color w:val="333333"/>
                      <w:szCs w:val="21"/>
                    </w:rPr>
                  </w:pPr>
                  <w:r w:rsidRPr="00E9178E">
                    <w:rPr>
                      <w:rFonts w:ascii="仿宋_GB2312" w:eastAsia="仿宋_GB2312" w:hAnsi="宋体" w:hint="eastAsia"/>
                      <w:b/>
                      <w:color w:val="000000"/>
                      <w:sz w:val="32"/>
                    </w:rPr>
                    <w:t xml:space="preserve">第二十条  </w:t>
                  </w:r>
                  <w:r w:rsidRPr="00E9178E">
                    <w:rPr>
                      <w:rFonts w:ascii="仿宋_GB2312" w:eastAsia="仿宋_GB2312" w:hAnsi="宋体" w:hint="eastAsia"/>
                      <w:color w:val="000000"/>
                      <w:sz w:val="32"/>
                      <w:szCs w:val="32"/>
                    </w:rPr>
                    <w:t>本办法自发布之日起施行，由人事处负责解释。</w:t>
                  </w:r>
                </w:p>
                <w:p w:rsidR="002C7EAC" w:rsidRDefault="002C7EAC" w:rsidP="00E9178E">
                  <w:pPr>
                    <w:widowControl/>
                    <w:spacing w:line="408" w:lineRule="atLeast"/>
                    <w:jc w:val="center"/>
                    <w:rPr>
                      <w:rFonts w:hAnsi="宋体"/>
                      <w:color w:val="333333"/>
                      <w:szCs w:val="21"/>
                    </w:rPr>
                  </w:pPr>
                </w:p>
                <w:p w:rsidR="002C7EAC" w:rsidRDefault="002C7EAC" w:rsidP="00E9178E">
                  <w:pPr>
                    <w:widowControl/>
                    <w:spacing w:line="408" w:lineRule="atLeast"/>
                    <w:jc w:val="center"/>
                    <w:rPr>
                      <w:rFonts w:hAnsi="宋体"/>
                      <w:color w:val="333333"/>
                      <w:szCs w:val="21"/>
                    </w:rPr>
                  </w:pPr>
                </w:p>
                <w:p w:rsidR="002C7EAC" w:rsidRDefault="002C7EAC" w:rsidP="00E9178E">
                  <w:pPr>
                    <w:widowControl/>
                    <w:spacing w:line="408" w:lineRule="atLeast"/>
                    <w:jc w:val="center"/>
                    <w:rPr>
                      <w:rFonts w:hAnsi="宋体"/>
                      <w:color w:val="333333"/>
                      <w:szCs w:val="21"/>
                    </w:rPr>
                  </w:pPr>
                </w:p>
                <w:p w:rsidR="002C7EAC" w:rsidRDefault="002C7EAC" w:rsidP="00E9178E">
                  <w:pPr>
                    <w:widowControl/>
                    <w:spacing w:line="408" w:lineRule="atLeast"/>
                    <w:jc w:val="center"/>
                    <w:rPr>
                      <w:rFonts w:hAnsi="宋体"/>
                      <w:color w:val="333333"/>
                      <w:szCs w:val="21"/>
                    </w:rPr>
                  </w:pPr>
                </w:p>
                <w:p w:rsidR="002C7EAC" w:rsidRDefault="002C7EAC" w:rsidP="00E9178E">
                  <w:pPr>
                    <w:widowControl/>
                    <w:spacing w:line="408" w:lineRule="atLeast"/>
                    <w:jc w:val="center"/>
                    <w:rPr>
                      <w:rFonts w:hAnsi="宋体"/>
                      <w:color w:val="333333"/>
                      <w:szCs w:val="21"/>
                    </w:rPr>
                  </w:pPr>
                </w:p>
                <w:p w:rsidR="002C7EAC" w:rsidRDefault="002C7EAC" w:rsidP="00E9178E">
                  <w:pPr>
                    <w:widowControl/>
                    <w:spacing w:line="408" w:lineRule="atLeast"/>
                    <w:jc w:val="center"/>
                    <w:rPr>
                      <w:rFonts w:hAnsi="宋体"/>
                      <w:color w:val="333333"/>
                      <w:szCs w:val="21"/>
                    </w:rPr>
                  </w:pPr>
                </w:p>
                <w:p w:rsidR="00E9178E" w:rsidRPr="00E9178E" w:rsidRDefault="00E9178E" w:rsidP="00E9178E">
                  <w:pPr>
                    <w:widowControl/>
                    <w:spacing w:line="408" w:lineRule="atLeast"/>
                    <w:jc w:val="center"/>
                    <w:rPr>
                      <w:rFonts w:hAnsi="宋体"/>
                      <w:color w:val="333333"/>
                      <w:szCs w:val="21"/>
                    </w:rPr>
                  </w:pPr>
                  <w:r w:rsidRPr="00E9178E">
                    <w:rPr>
                      <w:rFonts w:hAnsi="宋体"/>
                      <w:color w:val="333333"/>
                      <w:szCs w:val="21"/>
                    </w:rPr>
                    <w:lastRenderedPageBreak/>
                    <w:t>附件：全职引进人才享受优惠待遇参照表</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911"/>
                    <w:gridCol w:w="649"/>
                    <w:gridCol w:w="768"/>
                    <w:gridCol w:w="2398"/>
                    <w:gridCol w:w="1218"/>
                    <w:gridCol w:w="901"/>
                    <w:gridCol w:w="524"/>
                    <w:gridCol w:w="359"/>
                  </w:tblGrid>
                  <w:tr w:rsidR="00E9178E" w:rsidRPr="00E9178E" w:rsidTr="00E9178E">
                    <w:trPr>
                      <w:tblCellSpacing w:w="0" w:type="dxa"/>
                    </w:trPr>
                    <w:tc>
                      <w:tcPr>
                        <w:tcW w:w="516" w:type="dxa"/>
                        <w:vMerge w:val="restart"/>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人才</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类型</w:t>
                        </w:r>
                      </w:p>
                    </w:tc>
                    <w:tc>
                      <w:tcPr>
                        <w:tcW w:w="2880" w:type="dxa"/>
                        <w:gridSpan w:val="3"/>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科研资助费（人民币 万元）</w:t>
                        </w:r>
                      </w:p>
                    </w:tc>
                    <w:tc>
                      <w:tcPr>
                        <w:tcW w:w="3948" w:type="dxa"/>
                        <w:vMerge w:val="restart"/>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住房及安家费</w:t>
                        </w:r>
                      </w:p>
                      <w:p w:rsidR="00E9178E" w:rsidRPr="00E9178E" w:rsidRDefault="00E9178E" w:rsidP="00E9178E">
                        <w:pPr>
                          <w:widowControl/>
                          <w:jc w:val="center"/>
                          <w:rPr>
                            <w:rFonts w:hAnsi="宋体"/>
                            <w:color w:val="333333"/>
                            <w:sz w:val="18"/>
                            <w:szCs w:val="18"/>
                          </w:rPr>
                        </w:pPr>
                      </w:p>
                    </w:tc>
                    <w:tc>
                      <w:tcPr>
                        <w:tcW w:w="1956" w:type="dxa"/>
                        <w:vMerge w:val="restart"/>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薪酬待遇</w:t>
                        </w:r>
                      </w:p>
                    </w:tc>
                    <w:tc>
                      <w:tcPr>
                        <w:tcW w:w="1356" w:type="dxa"/>
                        <w:vMerge w:val="restart"/>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聘期及考核</w:t>
                        </w:r>
                      </w:p>
                    </w:tc>
                    <w:tc>
                      <w:tcPr>
                        <w:tcW w:w="804" w:type="dxa"/>
                        <w:vMerge w:val="restart"/>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配偶是否安置</w:t>
                        </w:r>
                      </w:p>
                    </w:tc>
                    <w:tc>
                      <w:tcPr>
                        <w:tcW w:w="492" w:type="dxa"/>
                        <w:vMerge w:val="restart"/>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备注</w:t>
                        </w:r>
                      </w:p>
                    </w:tc>
                  </w:tr>
                  <w:tr w:rsidR="00E9178E" w:rsidRPr="00E9178E" w:rsidTr="00E9178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1296" w:type="dxa"/>
                        <w:vMerge w:val="restart"/>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人文社科类</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（含艺术、体育）</w:t>
                        </w:r>
                      </w:p>
                    </w:tc>
                    <w:tc>
                      <w:tcPr>
                        <w:tcW w:w="1584" w:type="dxa"/>
                        <w:gridSpan w:val="2"/>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自然科学类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r>
                  <w:tr w:rsidR="00E9178E" w:rsidRPr="00E9178E" w:rsidTr="00E9178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理科</w:t>
                        </w:r>
                      </w:p>
                    </w:tc>
                    <w:tc>
                      <w:tcPr>
                        <w:tcW w:w="86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工科</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r>
                  <w:tr w:rsidR="00E9178E" w:rsidRPr="00E9178E" w:rsidTr="00E9178E">
                    <w:trPr>
                      <w:tblCellSpacing w:w="0" w:type="dxa"/>
                    </w:trPr>
                    <w:tc>
                      <w:tcPr>
                        <w:tcW w:w="51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领军人才</w:t>
                        </w:r>
                      </w:p>
                    </w:tc>
                    <w:tc>
                      <w:tcPr>
                        <w:tcW w:w="129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30及以上</w:t>
                        </w:r>
                      </w:p>
                    </w:tc>
                    <w:tc>
                      <w:tcPr>
                        <w:tcW w:w="720"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50及以上</w:t>
                        </w:r>
                      </w:p>
                    </w:tc>
                    <w:tc>
                      <w:tcPr>
                        <w:tcW w:w="86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200及以上</w:t>
                        </w:r>
                      </w:p>
                    </w:tc>
                    <w:tc>
                      <w:tcPr>
                        <w:tcW w:w="3948"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聘期内提供不少于90平方米工作住房租住，同时一次性提供20万元安家费；或提供安家费70—100万元（报到后一次性支付20万元，其余分年度平均支付或全部预借购房）</w:t>
                        </w:r>
                      </w:p>
                    </w:tc>
                    <w:tc>
                      <w:tcPr>
                        <w:tcW w:w="19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年薪120万元（含所有，税前）</w:t>
                        </w:r>
                      </w:p>
                    </w:tc>
                    <w:tc>
                      <w:tcPr>
                        <w:tcW w:w="13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聘期5年，按协议考核</w:t>
                        </w:r>
                      </w:p>
                    </w:tc>
                    <w:tc>
                      <w:tcPr>
                        <w:tcW w:w="80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视情况安置</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配偶</w:t>
                        </w:r>
                      </w:p>
                    </w:tc>
                    <w:tc>
                      <w:tcPr>
                        <w:tcW w:w="492"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院士另议</w:t>
                        </w:r>
                      </w:p>
                    </w:tc>
                  </w:tr>
                  <w:tr w:rsidR="00E9178E" w:rsidRPr="00E9178E" w:rsidTr="00E9178E">
                    <w:trPr>
                      <w:tblCellSpacing w:w="0" w:type="dxa"/>
                    </w:trPr>
                    <w:tc>
                      <w:tcPr>
                        <w:tcW w:w="51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第</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一</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类</w:t>
                        </w:r>
                      </w:p>
                    </w:tc>
                    <w:tc>
                      <w:tcPr>
                        <w:tcW w:w="129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30-60</w:t>
                        </w:r>
                      </w:p>
                    </w:tc>
                    <w:tc>
                      <w:tcPr>
                        <w:tcW w:w="720"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50-100</w:t>
                        </w:r>
                      </w:p>
                    </w:tc>
                    <w:tc>
                      <w:tcPr>
                        <w:tcW w:w="86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100-200</w:t>
                        </w:r>
                      </w:p>
                    </w:tc>
                    <w:tc>
                      <w:tcPr>
                        <w:tcW w:w="3948"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聘期内提供不少于90平方米工作住房租住，同时一次性提供20万元安家费；或提供安家费70—100万元（报到后一次性支付20万元，其余分年度平均支付或全部预借购房）</w:t>
                        </w:r>
                      </w:p>
                    </w:tc>
                    <w:tc>
                      <w:tcPr>
                        <w:tcW w:w="19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年薪：按实际受聘岗位享受工资福利待遇+引进人才津贴20万元/年（相当于年薪50万元左右）</w:t>
                        </w:r>
                      </w:p>
                    </w:tc>
                    <w:tc>
                      <w:tcPr>
                        <w:tcW w:w="13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聘期5年，按协议考核</w:t>
                        </w:r>
                      </w:p>
                    </w:tc>
                    <w:tc>
                      <w:tcPr>
                        <w:tcW w:w="80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视情况安置</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配偶</w:t>
                        </w:r>
                      </w:p>
                    </w:tc>
                    <w:tc>
                      <w:tcPr>
                        <w:tcW w:w="492" w:type="dxa"/>
                        <w:vMerge w:val="restart"/>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特别优秀人才可面议</w:t>
                        </w:r>
                      </w:p>
                    </w:tc>
                  </w:tr>
                  <w:tr w:rsidR="00E9178E" w:rsidRPr="00E9178E" w:rsidTr="00E9178E">
                    <w:trPr>
                      <w:tblCellSpacing w:w="0" w:type="dxa"/>
                    </w:trPr>
                    <w:tc>
                      <w:tcPr>
                        <w:tcW w:w="51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第</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二</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类</w:t>
                        </w:r>
                      </w:p>
                    </w:tc>
                    <w:tc>
                      <w:tcPr>
                        <w:tcW w:w="129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10-15</w:t>
                        </w:r>
                      </w:p>
                    </w:tc>
                    <w:tc>
                      <w:tcPr>
                        <w:tcW w:w="720"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30-50</w:t>
                        </w:r>
                      </w:p>
                    </w:tc>
                    <w:tc>
                      <w:tcPr>
                        <w:tcW w:w="86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50-70</w:t>
                        </w:r>
                      </w:p>
                    </w:tc>
                    <w:tc>
                      <w:tcPr>
                        <w:tcW w:w="3948"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聘期内提供工作住房租住，同时一次性提供15万元安家费；或提供安家费45—55万元（报到后一次性支付15万元，其余分年度平均支付或全部预借购房）</w:t>
                        </w:r>
                      </w:p>
                    </w:tc>
                    <w:tc>
                      <w:tcPr>
                        <w:tcW w:w="19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年薪：按实际受聘岗位享受工资福利待遇+引进人才津贴15万元/年（相当于年薪30万元左右）</w:t>
                        </w:r>
                      </w:p>
                    </w:tc>
                    <w:tc>
                      <w:tcPr>
                        <w:tcW w:w="13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聘期5年，按协议考核</w:t>
                        </w:r>
                      </w:p>
                    </w:tc>
                    <w:tc>
                      <w:tcPr>
                        <w:tcW w:w="80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视情况安置</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配偶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r>
                  <w:tr w:rsidR="00E9178E" w:rsidRPr="00E9178E" w:rsidTr="00E9178E">
                    <w:trPr>
                      <w:tblCellSpacing w:w="0" w:type="dxa"/>
                    </w:trPr>
                    <w:tc>
                      <w:tcPr>
                        <w:tcW w:w="51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第</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三</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类</w:t>
                        </w:r>
                      </w:p>
                    </w:tc>
                    <w:tc>
                      <w:tcPr>
                        <w:tcW w:w="129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8-10</w:t>
                        </w:r>
                      </w:p>
                    </w:tc>
                    <w:tc>
                      <w:tcPr>
                        <w:tcW w:w="720"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10-20</w:t>
                        </w:r>
                      </w:p>
                    </w:tc>
                    <w:tc>
                      <w:tcPr>
                        <w:tcW w:w="86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20-30</w:t>
                        </w:r>
                      </w:p>
                    </w:tc>
                    <w:tc>
                      <w:tcPr>
                        <w:tcW w:w="3948"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聘期内提供工作住房租住，同时一次性提供10万元安家费；或报到后提供安家费30-40万元（报到后一次性支付10万元，其余分年度平均支付或全部预借购房）</w:t>
                        </w:r>
                      </w:p>
                    </w:tc>
                    <w:tc>
                      <w:tcPr>
                        <w:tcW w:w="19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年薪：按实际受聘岗位享受工资福利待遇；业绩特别优秀者还可享受引进人才津贴8万元/年</w:t>
                        </w:r>
                      </w:p>
                    </w:tc>
                    <w:tc>
                      <w:tcPr>
                        <w:tcW w:w="13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聘期5年，按协议考核</w:t>
                        </w:r>
                      </w:p>
                    </w:tc>
                    <w:tc>
                      <w:tcPr>
                        <w:tcW w:w="80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视情况安置</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配偶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r>
                  <w:tr w:rsidR="00E9178E" w:rsidRPr="00E9178E" w:rsidTr="00E9178E">
                    <w:trPr>
                      <w:tblCellSpacing w:w="0" w:type="dxa"/>
                    </w:trPr>
                    <w:tc>
                      <w:tcPr>
                        <w:tcW w:w="51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第</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四</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类</w:t>
                        </w:r>
                      </w:p>
                    </w:tc>
                    <w:tc>
                      <w:tcPr>
                        <w:tcW w:w="129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5</w:t>
                        </w:r>
                      </w:p>
                    </w:tc>
                    <w:tc>
                      <w:tcPr>
                        <w:tcW w:w="86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6</w:t>
                        </w:r>
                      </w:p>
                    </w:tc>
                    <w:tc>
                      <w:tcPr>
                        <w:tcW w:w="3948"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提供过渡房租住（过渡期3年），同时提供安家费25万元（报到后一次性支付7万元，其余分年度平均支付或全部预借购房）</w:t>
                        </w:r>
                      </w:p>
                    </w:tc>
                    <w:tc>
                      <w:tcPr>
                        <w:tcW w:w="19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年薪：按实际受聘岗位享受工资福利待遇，前3年可校内享受副高六级岗位的绩效工资待遇；业绩特别优秀者还可享受引进人才津贴3万元/年</w:t>
                        </w:r>
                      </w:p>
                    </w:tc>
                    <w:tc>
                      <w:tcPr>
                        <w:tcW w:w="13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聘期5年，按协议考核（其中前3年按副高六级岗位要求考核）</w:t>
                        </w:r>
                      </w:p>
                    </w:tc>
                    <w:tc>
                      <w:tcPr>
                        <w:tcW w:w="80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视情况安置配偶</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r>
                  <w:tr w:rsidR="00E9178E" w:rsidRPr="00E9178E" w:rsidTr="00E9178E">
                    <w:trPr>
                      <w:tblCellSpacing w:w="0" w:type="dxa"/>
                    </w:trPr>
                    <w:tc>
                      <w:tcPr>
                        <w:tcW w:w="51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lastRenderedPageBreak/>
                          <w:t>第</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五</w:t>
                        </w:r>
                      </w:p>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类</w:t>
                        </w:r>
                      </w:p>
                    </w:tc>
                    <w:tc>
                      <w:tcPr>
                        <w:tcW w:w="129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2</w:t>
                        </w:r>
                      </w:p>
                    </w:tc>
                    <w:tc>
                      <w:tcPr>
                        <w:tcW w:w="864"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3</w:t>
                        </w:r>
                      </w:p>
                    </w:tc>
                    <w:tc>
                      <w:tcPr>
                        <w:tcW w:w="3948"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提供过渡房租住（过渡期3年），同时提供安家费13万元（报到后一次性支付5万元，其余分年度平均支付或全部预借购房）</w:t>
                        </w:r>
                      </w:p>
                    </w:tc>
                    <w:tc>
                      <w:tcPr>
                        <w:tcW w:w="1956"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年薪：按实际受聘岗位享受工资福利待遇（前3年可校内高聘专业技术七级岗）</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r w:rsidRPr="00E9178E">
                          <w:rPr>
                            <w:rFonts w:hAnsi="宋体"/>
                            <w:color w:val="333333"/>
                            <w:sz w:val="18"/>
                            <w:szCs w:val="18"/>
                          </w:rPr>
                          <w:t>聘期5年，按协议考核（其中前3年按副高七级岗位要求考核）</w:t>
                        </w:r>
                      </w:p>
                    </w:tc>
                    <w:tc>
                      <w:tcPr>
                        <w:tcW w:w="492" w:type="dxa"/>
                        <w:tcBorders>
                          <w:top w:val="outset" w:sz="6" w:space="0" w:color="auto"/>
                          <w:left w:val="outset" w:sz="6" w:space="0" w:color="auto"/>
                          <w:bottom w:val="outset" w:sz="6" w:space="0" w:color="auto"/>
                          <w:right w:val="outset" w:sz="6" w:space="0" w:color="auto"/>
                        </w:tcBorders>
                        <w:vAlign w:val="center"/>
                        <w:hideMark/>
                      </w:tcPr>
                      <w:p w:rsidR="00E9178E" w:rsidRPr="00E9178E" w:rsidRDefault="00E9178E" w:rsidP="00E9178E">
                        <w:pPr>
                          <w:widowControl/>
                          <w:jc w:val="center"/>
                          <w:rPr>
                            <w:rFonts w:hAnsi="宋体"/>
                            <w:color w:val="333333"/>
                            <w:sz w:val="18"/>
                            <w:szCs w:val="18"/>
                          </w:rPr>
                        </w:pPr>
                      </w:p>
                    </w:tc>
                  </w:tr>
                </w:tbl>
                <w:p w:rsidR="00E9178E" w:rsidRPr="00E9178E" w:rsidRDefault="00E9178E" w:rsidP="00E9178E">
                  <w:pPr>
                    <w:widowControl/>
                    <w:spacing w:line="408" w:lineRule="atLeast"/>
                    <w:jc w:val="center"/>
                    <w:rPr>
                      <w:rFonts w:hAnsi="宋体"/>
                      <w:color w:val="333333"/>
                      <w:szCs w:val="21"/>
                    </w:rPr>
                  </w:pPr>
                </w:p>
              </w:tc>
            </w:tr>
            <w:tr w:rsidR="00E9178E" w:rsidRPr="00E9178E" w:rsidTr="00E9178E">
              <w:trPr>
                <w:trHeight w:val="240"/>
                <w:tblCellSpacing w:w="0" w:type="dxa"/>
                <w:jc w:val="center"/>
              </w:trPr>
              <w:tc>
                <w:tcPr>
                  <w:tcW w:w="5000" w:type="pct"/>
                  <w:hideMark/>
                </w:tcPr>
                <w:p w:rsidR="00E9178E" w:rsidRPr="00E9178E" w:rsidRDefault="00E9178E" w:rsidP="00E9178E">
                  <w:pPr>
                    <w:widowControl/>
                    <w:spacing w:line="408" w:lineRule="atLeast"/>
                    <w:jc w:val="center"/>
                    <w:rPr>
                      <w:rFonts w:hAnsi="宋体"/>
                      <w:color w:val="333333"/>
                      <w:szCs w:val="21"/>
                    </w:rPr>
                  </w:pPr>
                </w:p>
              </w:tc>
            </w:tr>
          </w:tbl>
          <w:p w:rsidR="00E9178E" w:rsidRPr="00E9178E" w:rsidRDefault="00E9178E" w:rsidP="00E9178E">
            <w:pPr>
              <w:widowControl/>
              <w:jc w:val="center"/>
              <w:rPr>
                <w:rFonts w:hAnsi="宋体"/>
                <w:color w:val="333333"/>
                <w:sz w:val="18"/>
                <w:szCs w:val="18"/>
              </w:rPr>
            </w:pPr>
          </w:p>
        </w:tc>
      </w:tr>
    </w:tbl>
    <w:p w:rsidR="00135450" w:rsidRPr="00E9178E" w:rsidRDefault="00135450"/>
    <w:sectPr w:rsidR="00135450" w:rsidRPr="00E9178E" w:rsidSect="001354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5C8" w:rsidRDefault="00D805C8" w:rsidP="002C7EAC">
      <w:r>
        <w:separator/>
      </w:r>
    </w:p>
  </w:endnote>
  <w:endnote w:type="continuationSeparator" w:id="1">
    <w:p w:rsidR="00D805C8" w:rsidRDefault="00D805C8" w:rsidP="002C7EA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5C8" w:rsidRDefault="00D805C8" w:rsidP="002C7EAC">
      <w:r>
        <w:separator/>
      </w:r>
    </w:p>
  </w:footnote>
  <w:footnote w:type="continuationSeparator" w:id="1">
    <w:p w:rsidR="00D805C8" w:rsidRDefault="00D805C8" w:rsidP="002C7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178E"/>
    <w:rsid w:val="00037F59"/>
    <w:rsid w:val="00135450"/>
    <w:rsid w:val="002C7EAC"/>
    <w:rsid w:val="007802BD"/>
    <w:rsid w:val="009E4B91"/>
    <w:rsid w:val="00AB729C"/>
    <w:rsid w:val="00BD750F"/>
    <w:rsid w:val="00D805C8"/>
    <w:rsid w:val="00E91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微软雅黑" w:cs="宋体"/>
        <w:color w:val="4A4A4A"/>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E9178E"/>
    <w:rPr>
      <w:color w:val="666666"/>
    </w:rPr>
  </w:style>
  <w:style w:type="character" w:styleId="a3">
    <w:name w:val="Strong"/>
    <w:basedOn w:val="a0"/>
    <w:uiPriority w:val="22"/>
    <w:qFormat/>
    <w:rsid w:val="00E9178E"/>
    <w:rPr>
      <w:b/>
      <w:bCs/>
    </w:rPr>
  </w:style>
  <w:style w:type="paragraph" w:styleId="a4">
    <w:name w:val="header"/>
    <w:basedOn w:val="a"/>
    <w:link w:val="Char"/>
    <w:uiPriority w:val="99"/>
    <w:semiHidden/>
    <w:unhideWhenUsed/>
    <w:rsid w:val="002C7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C7EAC"/>
    <w:rPr>
      <w:sz w:val="18"/>
      <w:szCs w:val="18"/>
    </w:rPr>
  </w:style>
  <w:style w:type="paragraph" w:styleId="a5">
    <w:name w:val="footer"/>
    <w:basedOn w:val="a"/>
    <w:link w:val="Char0"/>
    <w:uiPriority w:val="99"/>
    <w:semiHidden/>
    <w:unhideWhenUsed/>
    <w:rsid w:val="002C7EA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C7EAC"/>
    <w:rPr>
      <w:sz w:val="18"/>
      <w:szCs w:val="18"/>
    </w:rPr>
  </w:style>
</w:styles>
</file>

<file path=word/webSettings.xml><?xml version="1.0" encoding="utf-8"?>
<w:webSettings xmlns:r="http://schemas.openxmlformats.org/officeDocument/2006/relationships" xmlns:w="http://schemas.openxmlformats.org/wordprocessingml/2006/main">
  <w:divs>
    <w:div w:id="1579363651">
      <w:bodyDiv w:val="1"/>
      <w:marLeft w:val="0"/>
      <w:marRight w:val="0"/>
      <w:marTop w:val="0"/>
      <w:marBottom w:val="0"/>
      <w:divBdr>
        <w:top w:val="none" w:sz="0" w:space="0" w:color="auto"/>
        <w:left w:val="none" w:sz="0" w:space="0" w:color="auto"/>
        <w:bottom w:val="none" w:sz="0" w:space="0" w:color="auto"/>
        <w:right w:val="none" w:sz="0" w:space="0" w:color="auto"/>
      </w:divBdr>
      <w:divsChild>
        <w:div w:id="823622999">
          <w:marLeft w:val="0"/>
          <w:marRight w:val="0"/>
          <w:marTop w:val="0"/>
          <w:marBottom w:val="0"/>
          <w:divBdr>
            <w:top w:val="none" w:sz="0" w:space="0" w:color="auto"/>
            <w:left w:val="none" w:sz="0" w:space="0" w:color="auto"/>
            <w:bottom w:val="none" w:sz="0" w:space="0" w:color="auto"/>
            <w:right w:val="none" w:sz="0" w:space="0" w:color="auto"/>
          </w:divBdr>
        </w:div>
        <w:div w:id="1607080891">
          <w:marLeft w:val="0"/>
          <w:marRight w:val="0"/>
          <w:marTop w:val="0"/>
          <w:marBottom w:val="0"/>
          <w:divBdr>
            <w:top w:val="none" w:sz="0" w:space="0" w:color="auto"/>
            <w:left w:val="none" w:sz="0" w:space="0" w:color="auto"/>
            <w:bottom w:val="none" w:sz="0" w:space="0" w:color="auto"/>
            <w:right w:val="none" w:sz="0" w:space="0" w:color="auto"/>
          </w:divBdr>
          <w:divsChild>
            <w:div w:id="1084762619">
              <w:marLeft w:val="0"/>
              <w:marRight w:val="0"/>
              <w:marTop w:val="0"/>
              <w:marBottom w:val="0"/>
              <w:divBdr>
                <w:top w:val="none" w:sz="0" w:space="0" w:color="auto"/>
                <w:left w:val="none" w:sz="0" w:space="0" w:color="auto"/>
                <w:bottom w:val="none" w:sz="0" w:space="0" w:color="auto"/>
                <w:right w:val="none" w:sz="0" w:space="0" w:color="auto"/>
              </w:divBdr>
              <w:divsChild>
                <w:div w:id="408578522">
                  <w:marLeft w:val="0"/>
                  <w:marRight w:val="0"/>
                  <w:marTop w:val="0"/>
                  <w:marBottom w:val="0"/>
                  <w:divBdr>
                    <w:top w:val="none" w:sz="0" w:space="0" w:color="auto"/>
                    <w:left w:val="none" w:sz="0" w:space="0" w:color="auto"/>
                    <w:bottom w:val="none" w:sz="0" w:space="0" w:color="auto"/>
                    <w:right w:val="none" w:sz="0" w:space="0" w:color="auto"/>
                  </w:divBdr>
                </w:div>
                <w:div w:id="1743529074">
                  <w:marLeft w:val="0"/>
                  <w:marRight w:val="0"/>
                  <w:marTop w:val="0"/>
                  <w:marBottom w:val="0"/>
                  <w:divBdr>
                    <w:top w:val="none" w:sz="0" w:space="0" w:color="auto"/>
                    <w:left w:val="none" w:sz="0" w:space="0" w:color="auto"/>
                    <w:bottom w:val="none" w:sz="0" w:space="0" w:color="auto"/>
                    <w:right w:val="none" w:sz="0" w:space="0" w:color="auto"/>
                  </w:divBdr>
                </w:div>
              </w:divsChild>
            </w:div>
            <w:div w:id="527911256">
              <w:marLeft w:val="0"/>
              <w:marRight w:val="0"/>
              <w:marTop w:val="0"/>
              <w:marBottom w:val="0"/>
              <w:divBdr>
                <w:top w:val="none" w:sz="0" w:space="0" w:color="auto"/>
                <w:left w:val="none" w:sz="0" w:space="0" w:color="auto"/>
                <w:bottom w:val="none" w:sz="0" w:space="0" w:color="auto"/>
                <w:right w:val="none" w:sz="0" w:space="0" w:color="auto"/>
              </w:divBdr>
            </w:div>
            <w:div w:id="1311521259">
              <w:marLeft w:val="0"/>
              <w:marRight w:val="0"/>
              <w:marTop w:val="0"/>
              <w:marBottom w:val="0"/>
              <w:divBdr>
                <w:top w:val="none" w:sz="0" w:space="0" w:color="auto"/>
                <w:left w:val="none" w:sz="0" w:space="0" w:color="auto"/>
                <w:bottom w:val="none" w:sz="0" w:space="0" w:color="auto"/>
                <w:right w:val="none" w:sz="0" w:space="0" w:color="auto"/>
              </w:divBdr>
            </w:div>
            <w:div w:id="404032554">
              <w:marLeft w:val="0"/>
              <w:marRight w:val="0"/>
              <w:marTop w:val="0"/>
              <w:marBottom w:val="0"/>
              <w:divBdr>
                <w:top w:val="none" w:sz="0" w:space="0" w:color="auto"/>
                <w:left w:val="none" w:sz="0" w:space="0" w:color="auto"/>
                <w:bottom w:val="none" w:sz="0" w:space="0" w:color="auto"/>
                <w:right w:val="none" w:sz="0" w:space="0" w:color="auto"/>
              </w:divBdr>
            </w:div>
            <w:div w:id="945892854">
              <w:marLeft w:val="0"/>
              <w:marRight w:val="0"/>
              <w:marTop w:val="0"/>
              <w:marBottom w:val="0"/>
              <w:divBdr>
                <w:top w:val="none" w:sz="0" w:space="0" w:color="auto"/>
                <w:left w:val="none" w:sz="0" w:space="0" w:color="auto"/>
                <w:bottom w:val="none" w:sz="0" w:space="0" w:color="auto"/>
                <w:right w:val="none" w:sz="0" w:space="0" w:color="auto"/>
              </w:divBdr>
            </w:div>
            <w:div w:id="1355111469">
              <w:marLeft w:val="0"/>
              <w:marRight w:val="0"/>
              <w:marTop w:val="0"/>
              <w:marBottom w:val="0"/>
              <w:divBdr>
                <w:top w:val="none" w:sz="0" w:space="0" w:color="auto"/>
                <w:left w:val="none" w:sz="0" w:space="0" w:color="auto"/>
                <w:bottom w:val="none" w:sz="0" w:space="0" w:color="auto"/>
                <w:right w:val="none" w:sz="0" w:space="0" w:color="auto"/>
              </w:divBdr>
            </w:div>
            <w:div w:id="1192184446">
              <w:marLeft w:val="0"/>
              <w:marRight w:val="0"/>
              <w:marTop w:val="0"/>
              <w:marBottom w:val="0"/>
              <w:divBdr>
                <w:top w:val="none" w:sz="0" w:space="0" w:color="auto"/>
                <w:left w:val="none" w:sz="0" w:space="0" w:color="auto"/>
                <w:bottom w:val="none" w:sz="0" w:space="0" w:color="auto"/>
                <w:right w:val="none" w:sz="0" w:space="0" w:color="auto"/>
              </w:divBdr>
            </w:div>
            <w:div w:id="1607271009">
              <w:marLeft w:val="0"/>
              <w:marRight w:val="0"/>
              <w:marTop w:val="0"/>
              <w:marBottom w:val="0"/>
              <w:divBdr>
                <w:top w:val="none" w:sz="0" w:space="0" w:color="auto"/>
                <w:left w:val="none" w:sz="0" w:space="0" w:color="auto"/>
                <w:bottom w:val="none" w:sz="0" w:space="0" w:color="auto"/>
                <w:right w:val="none" w:sz="0" w:space="0" w:color="auto"/>
              </w:divBdr>
            </w:div>
            <w:div w:id="1270356706">
              <w:marLeft w:val="0"/>
              <w:marRight w:val="0"/>
              <w:marTop w:val="0"/>
              <w:marBottom w:val="0"/>
              <w:divBdr>
                <w:top w:val="none" w:sz="0" w:space="0" w:color="auto"/>
                <w:left w:val="none" w:sz="0" w:space="0" w:color="auto"/>
                <w:bottom w:val="none" w:sz="0" w:space="0" w:color="auto"/>
                <w:right w:val="none" w:sz="0" w:space="0" w:color="auto"/>
              </w:divBdr>
            </w:div>
            <w:div w:id="1830175265">
              <w:marLeft w:val="0"/>
              <w:marRight w:val="0"/>
              <w:marTop w:val="0"/>
              <w:marBottom w:val="0"/>
              <w:divBdr>
                <w:top w:val="none" w:sz="0" w:space="0" w:color="auto"/>
                <w:left w:val="none" w:sz="0" w:space="0" w:color="auto"/>
                <w:bottom w:val="none" w:sz="0" w:space="0" w:color="auto"/>
                <w:right w:val="none" w:sz="0" w:space="0" w:color="auto"/>
              </w:divBdr>
            </w:div>
            <w:div w:id="2118718579">
              <w:marLeft w:val="0"/>
              <w:marRight w:val="0"/>
              <w:marTop w:val="0"/>
              <w:marBottom w:val="0"/>
              <w:divBdr>
                <w:top w:val="none" w:sz="0" w:space="0" w:color="auto"/>
                <w:left w:val="none" w:sz="0" w:space="0" w:color="auto"/>
                <w:bottom w:val="none" w:sz="0" w:space="0" w:color="auto"/>
                <w:right w:val="none" w:sz="0" w:space="0" w:color="auto"/>
              </w:divBdr>
            </w:div>
            <w:div w:id="166597491">
              <w:marLeft w:val="0"/>
              <w:marRight w:val="0"/>
              <w:marTop w:val="0"/>
              <w:marBottom w:val="0"/>
              <w:divBdr>
                <w:top w:val="none" w:sz="0" w:space="0" w:color="auto"/>
                <w:left w:val="none" w:sz="0" w:space="0" w:color="auto"/>
                <w:bottom w:val="none" w:sz="0" w:space="0" w:color="auto"/>
                <w:right w:val="none" w:sz="0" w:space="0" w:color="auto"/>
              </w:divBdr>
            </w:div>
            <w:div w:id="629629955">
              <w:marLeft w:val="0"/>
              <w:marRight w:val="0"/>
              <w:marTop w:val="0"/>
              <w:marBottom w:val="0"/>
              <w:divBdr>
                <w:top w:val="none" w:sz="0" w:space="0" w:color="auto"/>
                <w:left w:val="none" w:sz="0" w:space="0" w:color="auto"/>
                <w:bottom w:val="none" w:sz="0" w:space="0" w:color="auto"/>
                <w:right w:val="none" w:sz="0" w:space="0" w:color="auto"/>
              </w:divBdr>
            </w:div>
            <w:div w:id="1632782204">
              <w:marLeft w:val="0"/>
              <w:marRight w:val="0"/>
              <w:marTop w:val="0"/>
              <w:marBottom w:val="0"/>
              <w:divBdr>
                <w:top w:val="none" w:sz="0" w:space="0" w:color="auto"/>
                <w:left w:val="none" w:sz="0" w:space="0" w:color="auto"/>
                <w:bottom w:val="none" w:sz="0" w:space="0" w:color="auto"/>
                <w:right w:val="none" w:sz="0" w:space="0" w:color="auto"/>
              </w:divBdr>
            </w:div>
            <w:div w:id="161161425">
              <w:marLeft w:val="0"/>
              <w:marRight w:val="0"/>
              <w:marTop w:val="0"/>
              <w:marBottom w:val="0"/>
              <w:divBdr>
                <w:top w:val="none" w:sz="0" w:space="0" w:color="auto"/>
                <w:left w:val="none" w:sz="0" w:space="0" w:color="auto"/>
                <w:bottom w:val="none" w:sz="0" w:space="0" w:color="auto"/>
                <w:right w:val="none" w:sz="0" w:space="0" w:color="auto"/>
              </w:divBdr>
            </w:div>
            <w:div w:id="41249932">
              <w:marLeft w:val="0"/>
              <w:marRight w:val="0"/>
              <w:marTop w:val="0"/>
              <w:marBottom w:val="0"/>
              <w:divBdr>
                <w:top w:val="none" w:sz="0" w:space="0" w:color="auto"/>
                <w:left w:val="none" w:sz="0" w:space="0" w:color="auto"/>
                <w:bottom w:val="none" w:sz="0" w:space="0" w:color="auto"/>
                <w:right w:val="none" w:sz="0" w:space="0" w:color="auto"/>
              </w:divBdr>
            </w:div>
            <w:div w:id="1724061883">
              <w:marLeft w:val="0"/>
              <w:marRight w:val="0"/>
              <w:marTop w:val="0"/>
              <w:marBottom w:val="0"/>
              <w:divBdr>
                <w:top w:val="none" w:sz="0" w:space="0" w:color="auto"/>
                <w:left w:val="none" w:sz="0" w:space="0" w:color="auto"/>
                <w:bottom w:val="none" w:sz="0" w:space="0" w:color="auto"/>
                <w:right w:val="none" w:sz="0" w:space="0" w:color="auto"/>
              </w:divBdr>
            </w:div>
            <w:div w:id="1571622995">
              <w:marLeft w:val="0"/>
              <w:marRight w:val="0"/>
              <w:marTop w:val="0"/>
              <w:marBottom w:val="0"/>
              <w:divBdr>
                <w:top w:val="none" w:sz="0" w:space="0" w:color="auto"/>
                <w:left w:val="none" w:sz="0" w:space="0" w:color="auto"/>
                <w:bottom w:val="none" w:sz="0" w:space="0" w:color="auto"/>
                <w:right w:val="none" w:sz="0" w:space="0" w:color="auto"/>
              </w:divBdr>
            </w:div>
            <w:div w:id="1506895361">
              <w:marLeft w:val="0"/>
              <w:marRight w:val="0"/>
              <w:marTop w:val="0"/>
              <w:marBottom w:val="0"/>
              <w:divBdr>
                <w:top w:val="none" w:sz="0" w:space="0" w:color="auto"/>
                <w:left w:val="none" w:sz="0" w:space="0" w:color="auto"/>
                <w:bottom w:val="none" w:sz="0" w:space="0" w:color="auto"/>
                <w:right w:val="none" w:sz="0" w:space="0" w:color="auto"/>
              </w:divBdr>
            </w:div>
            <w:div w:id="1715353081">
              <w:marLeft w:val="0"/>
              <w:marRight w:val="0"/>
              <w:marTop w:val="0"/>
              <w:marBottom w:val="0"/>
              <w:divBdr>
                <w:top w:val="none" w:sz="0" w:space="0" w:color="auto"/>
                <w:left w:val="none" w:sz="0" w:space="0" w:color="auto"/>
                <w:bottom w:val="none" w:sz="0" w:space="0" w:color="auto"/>
                <w:right w:val="none" w:sz="0" w:space="0" w:color="auto"/>
              </w:divBdr>
            </w:div>
            <w:div w:id="446777433">
              <w:marLeft w:val="0"/>
              <w:marRight w:val="0"/>
              <w:marTop w:val="0"/>
              <w:marBottom w:val="0"/>
              <w:divBdr>
                <w:top w:val="none" w:sz="0" w:space="0" w:color="auto"/>
                <w:left w:val="none" w:sz="0" w:space="0" w:color="auto"/>
                <w:bottom w:val="none" w:sz="0" w:space="0" w:color="auto"/>
                <w:right w:val="none" w:sz="0" w:space="0" w:color="auto"/>
              </w:divBdr>
            </w:div>
            <w:div w:id="208566858">
              <w:marLeft w:val="0"/>
              <w:marRight w:val="0"/>
              <w:marTop w:val="0"/>
              <w:marBottom w:val="0"/>
              <w:divBdr>
                <w:top w:val="none" w:sz="0" w:space="0" w:color="auto"/>
                <w:left w:val="none" w:sz="0" w:space="0" w:color="auto"/>
                <w:bottom w:val="none" w:sz="0" w:space="0" w:color="auto"/>
                <w:right w:val="none" w:sz="0" w:space="0" w:color="auto"/>
              </w:divBdr>
            </w:div>
            <w:div w:id="587812648">
              <w:marLeft w:val="0"/>
              <w:marRight w:val="0"/>
              <w:marTop w:val="0"/>
              <w:marBottom w:val="0"/>
              <w:divBdr>
                <w:top w:val="none" w:sz="0" w:space="0" w:color="auto"/>
                <w:left w:val="none" w:sz="0" w:space="0" w:color="auto"/>
                <w:bottom w:val="none" w:sz="0" w:space="0" w:color="auto"/>
                <w:right w:val="none" w:sz="0" w:space="0" w:color="auto"/>
              </w:divBdr>
            </w:div>
          </w:divsChild>
        </w:div>
        <w:div w:id="928464822">
          <w:marLeft w:val="0"/>
          <w:marRight w:val="0"/>
          <w:marTop w:val="0"/>
          <w:marBottom w:val="0"/>
          <w:divBdr>
            <w:top w:val="none" w:sz="0" w:space="0" w:color="auto"/>
            <w:left w:val="none" w:sz="0" w:space="0" w:color="auto"/>
            <w:bottom w:val="none" w:sz="0" w:space="0" w:color="auto"/>
            <w:right w:val="none" w:sz="0" w:space="0" w:color="auto"/>
          </w:divBdr>
          <w:divsChild>
            <w:div w:id="18697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790</Words>
  <Characters>4508</Characters>
  <Application>Microsoft Office Word</Application>
  <DocSecurity>0</DocSecurity>
  <Lines>37</Lines>
  <Paragraphs>10</Paragraphs>
  <ScaleCrop>false</ScaleCrop>
  <Company>Hewlett-Packard Company</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YXX</dc:creator>
  <cp:lastModifiedBy>熊南菲</cp:lastModifiedBy>
  <cp:revision>2</cp:revision>
  <dcterms:created xsi:type="dcterms:W3CDTF">2018-12-04T02:51:00Z</dcterms:created>
  <dcterms:modified xsi:type="dcterms:W3CDTF">2018-12-04T02:51:00Z</dcterms:modified>
</cp:coreProperties>
</file>