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  <w:t>附件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 w:bidi="ar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  <w:t>漓江学院201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val="en-US" w:eastAsia="zh-CN" w:bidi="ar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  <w:t>年全职教师职位招聘计划信息表</w:t>
      </w:r>
    </w:p>
    <w:tbl>
      <w:tblPr>
        <w:tblStyle w:val="6"/>
        <w:tblW w:w="14732" w:type="dxa"/>
        <w:jc w:val="center"/>
        <w:tblInd w:w="-18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853"/>
        <w:gridCol w:w="1560"/>
        <w:gridCol w:w="690"/>
        <w:gridCol w:w="2355"/>
        <w:gridCol w:w="1860"/>
        <w:gridCol w:w="1982"/>
        <w:gridCol w:w="233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岗位编号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学科专业要求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或职称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经验或能力要求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可胜任课程（2-4门）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汉语言文学专业教师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语言文学学院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外国文学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或相近专业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外国文学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比较文学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外国文学名著选读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汉语言文学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语言文学学院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中国现当代文学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或相近专业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中国现代文学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中国当代文学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中国现当代文学作品选读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文学文本鉴赏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英语专业及大学英语教师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语言文学学院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外国语言学及应用语言学或英语课程与教学论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具有中学教学经验或讲师职称优先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英语写作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英美文学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英语教学法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数字出版专业教师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传媒学院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新闻传播学类专业，数字出版相关方向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有数字出版从业经历者不受学位学历与职称限制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数字出版技术、数字出版创意与策划、数字多媒体作品创作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网络与新媒体广告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会计学专业教师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经济与管理学院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会计学或财务管理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注册会计师优先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基础会计、中级财务会计、财务管理、会计电算化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审计学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经济与管理学院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会计学、审计学或财务管理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注册会计师优先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审计学内部控制、注册会计师审计实务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电子商务专业教师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商贸与法律学院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/名淘电商学院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电子商务专业，有商务英语专业背景或能力者优先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跨境电子商务、电子商务英语、线上消费心理学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会展经济与管理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商贸与法律学院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/名淘电商学院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旅游管理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 xml:space="preserve">会展营销、会展策划与管理 、会展场馆经营与管理   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20190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音乐学（音乐教学法方向）专业教师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教育与音乐学院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音乐学（音乐教学法方向）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音乐课程与教学论、中小学音乐教材分析、音乐学概论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、奥尔夫柯达伊教学法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小学教育专业教师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教育与音乐学院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小学教育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有小学教育从业经历者优先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课程与教学论、中外教育史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小学数学课程标准及教学设计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舞蹈学专业教师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教育与音乐学院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舞蹈学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男身高175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以上、女身高162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以上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中国古典舞基本功训练、中国古典舞身韵、中国民族民间舞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数学与应用数学专业教师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理工学院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数学（应用数学、或运筹学与控制论）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硕士以上学位，中级以上职称优先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数学建模赛获奖者、有高校或中学从教经历者优先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数学分析、高等代数与解析几何、初等数学研究、概率论与数理统计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2019013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电子信息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工程专业教师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理工学院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电子科学与技术（电路与系统）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硕士以上学位，副高以上职称优先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有企业从业经验，或有相关课程从教经历者优先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电子线路设计、数字信号处理、SOPC技术与设计、电子设计相关实训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LYJ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4-15</w:t>
            </w:r>
          </w:p>
        </w:tc>
        <w:tc>
          <w:tcPr>
            <w:tcW w:w="185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思想政治课教师</w:t>
            </w:r>
          </w:p>
        </w:tc>
        <w:tc>
          <w:tcPr>
            <w:tcW w:w="15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马克思主义学院/至善学院</w:t>
            </w:r>
          </w:p>
        </w:tc>
        <w:tc>
          <w:tcPr>
            <w:tcW w:w="69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马克思主义理论</w:t>
            </w:r>
          </w:p>
        </w:tc>
        <w:tc>
          <w:tcPr>
            <w:tcW w:w="186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硕士以上学位，讲师以上职称优先</w:t>
            </w:r>
          </w:p>
        </w:tc>
        <w:tc>
          <w:tcPr>
            <w:tcW w:w="198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中共党员；有学生干部经历者优先；具有较强的协调、组织能力，执行能力，科研能力；硕士毕业生的年龄原则上不超过35岁</w:t>
            </w:r>
          </w:p>
        </w:tc>
        <w:tc>
          <w:tcPr>
            <w:tcW w:w="233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</w:rPr>
              <w:t>马克思主义基本原理概论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eastAsia="zh-CN"/>
              </w:rPr>
              <w:t>、中国近现代史纲要、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</w:rPr>
              <w:t>思想道德修养与法律基础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22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招聘总数</w:t>
            </w:r>
          </w:p>
        </w:tc>
        <w:tc>
          <w:tcPr>
            <w:tcW w:w="12638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15人</w:t>
            </w:r>
          </w:p>
        </w:tc>
        <w:tc>
          <w:tcPr>
            <w:tcW w:w="87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/>
    <w:sectPr>
      <w:footerReference r:id="rId3" w:type="default"/>
      <w:pgSz w:w="16838" w:h="11906" w:orient="landscape"/>
      <w:pgMar w:top="1378" w:right="1440" w:bottom="1485" w:left="11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D7ED5"/>
    <w:rsid w:val="023F4A5C"/>
    <w:rsid w:val="30303BD8"/>
    <w:rsid w:val="4BC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2019-02-23T02:25:00Z</dcterms:created>
  <dc:creator>Administrator</dc:creator>
  <cp:lastModifiedBy>氵氵氵</cp:lastModifiedBy>
  <dcterms:modified xsi:type="dcterms:W3CDTF">2019-02-26T03:35:01Z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