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ahoma" w:hAnsi="Tahoma" w:eastAsia="Tahoma" w:cs="Tahoma"/>
          <w:i w:val="0"/>
          <w:caps w:val="0"/>
          <w:color w:val="000000"/>
          <w:spacing w:val="0"/>
          <w:sz w:val="15"/>
          <w:szCs w:val="15"/>
        </w:rPr>
      </w:pPr>
      <w:bookmarkStart w:id="0" w:name="_GoBack"/>
      <w:r>
        <w:rPr>
          <w:rFonts w:hint="default" w:ascii="Tahoma" w:hAnsi="Tahoma" w:eastAsia="Tahoma" w:cs="Tahoma"/>
          <w:i w:val="0"/>
          <w:caps w:val="0"/>
          <w:color w:val="FF0000"/>
          <w:spacing w:val="0"/>
          <w:sz w:val="31"/>
          <w:szCs w:val="31"/>
          <w:bdr w:val="none" w:color="auto" w:sz="0" w:space="0"/>
        </w:rPr>
        <w:t>广西壮族自治区国土资源规划院</w:t>
      </w:r>
      <w:r>
        <w:rPr>
          <w:rFonts w:ascii="仿宋_GB2312" w:hAnsi="仿宋_GB2312" w:eastAsia="仿宋_GB2312" w:cs="仿宋_GB2312"/>
          <w:b/>
          <w:i w:val="0"/>
          <w:caps w:val="0"/>
          <w:color w:val="000000"/>
          <w:spacing w:val="0"/>
          <w:kern w:val="0"/>
          <w:sz w:val="22"/>
          <w:szCs w:val="22"/>
          <w:bdr w:val="none" w:color="auto" w:sz="0" w:space="0"/>
          <w:lang w:val="en-US" w:eastAsia="zh-CN" w:bidi="ar"/>
        </w:rPr>
        <w:t>招聘岗位、人数及资格条件</w:t>
      </w:r>
    </w:p>
    <w:bookmarkEnd w:id="0"/>
    <w:tbl>
      <w:tblPr>
        <w:tblW w:w="11000" w:type="dxa"/>
        <w:tblInd w:w="0" w:type="dxa"/>
        <w:shd w:val="clear"/>
        <w:tblLayout w:type="fixed"/>
        <w:tblCellMar>
          <w:top w:w="0" w:type="dxa"/>
          <w:left w:w="0" w:type="dxa"/>
          <w:bottom w:w="0" w:type="dxa"/>
          <w:right w:w="0" w:type="dxa"/>
        </w:tblCellMar>
      </w:tblPr>
      <w:tblGrid>
        <w:gridCol w:w="1429"/>
        <w:gridCol w:w="1218"/>
        <w:gridCol w:w="831"/>
        <w:gridCol w:w="6092"/>
        <w:gridCol w:w="1430"/>
      </w:tblGrid>
      <w:tr>
        <w:tblPrEx>
          <w:tblLayout w:type="fixed"/>
          <w:tblCellMar>
            <w:top w:w="0" w:type="dxa"/>
            <w:left w:w="0" w:type="dxa"/>
            <w:bottom w:w="0" w:type="dxa"/>
            <w:right w:w="0" w:type="dxa"/>
          </w:tblCellMar>
        </w:tblPrEx>
        <w:tc>
          <w:tcPr>
            <w:tcW w:w="142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000000"/>
                <w:spacing w:val="0"/>
                <w:kern w:val="0"/>
                <w:sz w:val="22"/>
                <w:szCs w:val="22"/>
                <w:bdr w:val="none" w:color="auto" w:sz="0" w:space="0"/>
                <w:lang w:val="en-US" w:eastAsia="zh-CN" w:bidi="ar"/>
              </w:rPr>
              <w:t>岗位名称</w:t>
            </w:r>
          </w:p>
        </w:tc>
        <w:tc>
          <w:tcPr>
            <w:tcW w:w="12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000000"/>
                <w:spacing w:val="0"/>
                <w:kern w:val="0"/>
                <w:sz w:val="22"/>
                <w:szCs w:val="22"/>
                <w:bdr w:val="none" w:color="auto" w:sz="0" w:space="0"/>
                <w:lang w:val="en-US" w:eastAsia="zh-CN" w:bidi="ar"/>
              </w:rPr>
              <w:t>专业</w:t>
            </w:r>
          </w:p>
        </w:tc>
        <w:tc>
          <w:tcPr>
            <w:tcW w:w="8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000000"/>
                <w:spacing w:val="0"/>
                <w:kern w:val="0"/>
                <w:sz w:val="22"/>
                <w:szCs w:val="22"/>
                <w:bdr w:val="none" w:color="auto" w:sz="0" w:space="0"/>
                <w:lang w:val="en-US" w:eastAsia="zh-CN" w:bidi="ar"/>
              </w:rPr>
              <w:t>拟招聘人数</w:t>
            </w: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000000"/>
                <w:spacing w:val="0"/>
                <w:kern w:val="0"/>
                <w:sz w:val="22"/>
                <w:szCs w:val="22"/>
                <w:bdr w:val="none" w:color="auto" w:sz="0" w:space="0"/>
                <w:lang w:val="en-US" w:eastAsia="zh-CN" w:bidi="ar"/>
              </w:rPr>
              <w:t>聘用条件</w:t>
            </w:r>
          </w:p>
        </w:tc>
        <w:tc>
          <w:tcPr>
            <w:tcW w:w="14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b/>
                <w:i w:val="0"/>
                <w:caps w:val="0"/>
                <w:color w:val="000000"/>
                <w:spacing w:val="0"/>
                <w:kern w:val="0"/>
                <w:sz w:val="22"/>
                <w:szCs w:val="22"/>
                <w:bdr w:val="none" w:color="auto" w:sz="0" w:space="0"/>
                <w:lang w:val="en-US" w:eastAsia="zh-CN" w:bidi="ar"/>
              </w:rPr>
              <w:t>报名和考试时间</w:t>
            </w: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技术岗1</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给排水</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1.全日制本科及以上学历，具有给排水注册师证。</w:t>
            </w:r>
          </w:p>
        </w:tc>
        <w:tc>
          <w:tcPr>
            <w:tcW w:w="14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第一批报名截至时间为2019年5月8日；考试时间：2019年5月18日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第一批报名截至时间为2019年5月8日；考试时间：2019年5月18日</w:t>
            </w: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2.具有5年及以上工作经验、在原工作岗位上业绩突出的或获得中级及以上职称的，注册师证可不作要求。</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技术岗2</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城乡规划</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4</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1.全日制本科及以上学历，具有3年及以上发展规划、空间规划、城镇总体规划等工作经验，业绩突出者优先。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2.具有注册规划师优先。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技术岗3</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土地管理、地理信息系统科学</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1.全日制本科、中级职称或985、211全日制硕士研究生及以上学历，熟练掌握GIS软件，具备较强数据分析能力，具有土地利用总体规划编制及数据分析、数据库建设经验。</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技术岗4</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城乡规划、旅游管理</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1.全日制本科及以上学历，具有3年及以上村庄规划工作经验，在产业规划、旅游规划、项目策划方面业绩突出者优先。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2.具有注册规划师优先。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技术岗5</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生态学</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1</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1.985全日制本科或全日制硕士研究生及以上学历。</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2.具有3年及以上工作经验、在原工作岗位上业绩突出的或获得中级及以上职称的学历可适当降低到211全日制本科。</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3.具有高级及以上职称的可以免考笔试。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技术岗6</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风景园林或景观艺术</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1.985全日制本科或全日制硕士研究生及以上学历。</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2.具有3年及以上工作经验、在原工作岗位上业绩突出的或获得中级及以上职称的学历可适当降低到全日制本科。3.具有高级及以上职称的可以免考笔试。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技术岗7</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土木工程（结构方向）</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1</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1.全日制本科以上学历，具有二级注册结构师证及以上。</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2.具有5年及以上工作经验、在原工作岗位上业绩突出的或获得中级及以上职称的学历可适当降低到全日制本科。</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3.具有高级及以上职称的可以免考笔试。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技术岗8</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net软件开发</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1.全日制本科及以上学历，计算机科学与技术、地理信息系统筹软件开发行业相关专业；</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2.精通c#、JavaScript、XML、WebServices开发，熟悉ADO.NET、Net Framcwork、等技术，有较强的编码能力；</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3.精通Sql server或Oracle数据库应用，具备数据库应用系统的设计、分析、优化能力；</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4.具备良好的代码编程习惯；</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5.具有高级及以上职称的可以免考笔试。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技术岗9</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JAVA软件研发工程师</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1</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1、全日制本科及以上学历，计算机科学与技术、地理信息系统软件开发行业相关专业；</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2、如是全日制本科须有两年以上工作经验，年龄不超过28岁；全日制研究生无须工作经验要求；</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3、其他要求：</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（1）java  Web开发经验；</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（2）熟练掌握jQuery/Bootstrap等主流前端技术；</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（3）熟练使用Oracle/MySQL/SQL Server等两种以上主流数据库，了解数据库脚本优化；</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（4）熟练使用Springboot(Spring Cloud)，或掌握Spring技术体系，具有微服务框架开发经验者优先；熟练使用Druid或其他数据库连接池，具备优化能力；掌握MyBatis/Hibemate等一种以上ORM框架；熟悉Swagger2者优先；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（5）熟练使用一种以上UML建模工具和数据库设计工具；</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（6）熟悉Velocity、FreeMarker、Beetl等任一模板引擎者优先；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（7）掌握分布式系统开发及分布式存储技术者优先。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技术岗10</w:t>
            </w:r>
          </w:p>
        </w:tc>
        <w:tc>
          <w:tcPr>
            <w:tcW w:w="12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水利、城乡规划</w:t>
            </w:r>
          </w:p>
        </w:tc>
        <w:tc>
          <w:tcPr>
            <w:tcW w:w="8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1、全日制本科以上学历，中级职称以上，水利或城乡规划相关专业，5年以上。</w:t>
            </w:r>
            <w:r>
              <w:rPr>
                <w:rFonts w:hint="eastAsia" w:ascii="宋体" w:hAnsi="宋体" w:eastAsia="宋体" w:cs="宋体"/>
                <w:i w:val="0"/>
                <w:caps w:val="0"/>
                <w:color w:val="000000"/>
                <w:spacing w:val="0"/>
                <w:kern w:val="0"/>
                <w:sz w:val="20"/>
                <w:szCs w:val="20"/>
                <w:bdr w:val="none" w:color="auto" w:sz="0" w:space="0"/>
                <w:lang w:val="en-US" w:eastAsia="zh-CN" w:bidi="ar"/>
              </w:rPr>
              <w:br w:type="textWrapping"/>
            </w:r>
            <w:r>
              <w:rPr>
                <w:rFonts w:ascii="仿宋_GB2312" w:hAnsi="仿宋_GB2312" w:eastAsia="仿宋_GB2312" w:cs="仿宋_GB2312"/>
                <w:i w:val="0"/>
                <w:caps w:val="0"/>
                <w:color w:val="000000"/>
                <w:spacing w:val="0"/>
                <w:kern w:val="0"/>
                <w:sz w:val="22"/>
                <w:szCs w:val="22"/>
                <w:bdr w:val="none" w:color="auto" w:sz="0" w:space="0"/>
                <w:lang w:val="en-US" w:eastAsia="zh-CN" w:bidi="ar"/>
              </w:rPr>
              <w:t>2、熟悉CAD，作为项目负责人独立承担过水利工程、土地整治工程或旅游景观规划、新村建设规划等。</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技术岗11</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交通工程</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1.全日制本科及以上学历，具有3年及以上工作经验，参与完成不少于3项总体规划。</w:t>
            </w:r>
          </w:p>
        </w:tc>
        <w:tc>
          <w:tcPr>
            <w:tcW w:w="143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第二批报名截至时间为2019年6月19日；考试时间：2019年6月29日</w:t>
            </w: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2.具有注册师证优先。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技术岗12</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供配电或电力工程</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1.全日制本科及以上学历，具有供配电注册师证。</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2.具有5年及以上工作经验、在原工作岗位上业绩突出的或获得中级及以上职称的，注册师证可不作要求。</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技术岗13</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土木工程（道路、桥梁、岩土方向）</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3</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1.211全日制本科或全日制硕士研究生及以上学历。</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2.具有3年及以上工作经验、在原工作岗位上业绩突出的或获得中级及以上职称的学历可适当降低到全日制本科。</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3.具有注册师优先。</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4.高级及以上职称的可以免考笔试。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技术岗14</w:t>
            </w:r>
          </w:p>
        </w:tc>
        <w:tc>
          <w:tcPr>
            <w:tcW w:w="121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工程造价</w:t>
            </w:r>
          </w:p>
        </w:tc>
        <w:tc>
          <w:tcPr>
            <w:tcW w:w="831"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1</w:t>
            </w: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1. 211全日制本科以上学历，具有注册造价师证。</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2.具有5年及以上工作经验、在原工作岗位上业绩突出的或获得中级及以上职称的学历可适当降低到全日制本科。</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shd w:val="clear"/>
          <w:tblLayout w:type="fixed"/>
          <w:tblCellMar>
            <w:top w:w="0" w:type="dxa"/>
            <w:left w:w="0" w:type="dxa"/>
            <w:bottom w:w="0" w:type="dxa"/>
            <w:right w:w="0" w:type="dxa"/>
          </w:tblCellMar>
        </w:tblPrEx>
        <w:tc>
          <w:tcPr>
            <w:tcW w:w="1429"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121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831"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Tahoma" w:hAnsi="Tahoma" w:eastAsia="Tahoma" w:cs="Tahoma"/>
                <w:i w:val="0"/>
                <w:caps w:val="0"/>
                <w:color w:val="000000"/>
                <w:spacing w:val="0"/>
                <w:sz w:val="15"/>
                <w:szCs w:val="15"/>
              </w:rPr>
            </w:pP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仿宋_GB2312" w:hAnsi="仿宋_GB2312" w:eastAsia="仿宋_GB2312" w:cs="仿宋_GB2312"/>
                <w:i w:val="0"/>
                <w:caps w:val="0"/>
                <w:color w:val="000000"/>
                <w:spacing w:val="0"/>
                <w:kern w:val="0"/>
                <w:sz w:val="22"/>
                <w:szCs w:val="22"/>
                <w:bdr w:val="none" w:color="auto" w:sz="0" w:space="0"/>
                <w:lang w:val="en-US" w:eastAsia="zh-CN" w:bidi="ar"/>
              </w:rPr>
              <w:t>3.具有高级及以上职称的可以免考笔试。</w:t>
            </w:r>
          </w:p>
        </w:tc>
        <w:tc>
          <w:tcPr>
            <w:tcW w:w="1430"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Tahoma" w:hAnsi="Tahoma" w:eastAsia="Tahoma" w:cs="Tahoma"/>
                <w:i w:val="0"/>
                <w:caps w:val="0"/>
                <w:color w:val="000000"/>
                <w:spacing w:val="0"/>
                <w:sz w:val="15"/>
                <w:szCs w:val="15"/>
              </w:rPr>
            </w:pPr>
          </w:p>
        </w:tc>
      </w:tr>
      <w:tr>
        <w:tblPrEx>
          <w:tblLayout w:type="fixed"/>
          <w:tblCellMar>
            <w:top w:w="0" w:type="dxa"/>
            <w:left w:w="0" w:type="dxa"/>
            <w:bottom w:w="0" w:type="dxa"/>
            <w:right w:w="0" w:type="dxa"/>
          </w:tblCellMar>
        </w:tblPrEx>
        <w:tc>
          <w:tcPr>
            <w:tcW w:w="142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tc>
        <w:tc>
          <w:tcPr>
            <w:tcW w:w="121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合计</w:t>
            </w:r>
          </w:p>
        </w:tc>
        <w:tc>
          <w:tcPr>
            <w:tcW w:w="8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27</w:t>
            </w:r>
          </w:p>
        </w:tc>
        <w:tc>
          <w:tcPr>
            <w:tcW w:w="609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tc>
        <w:tc>
          <w:tcPr>
            <w:tcW w:w="14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仿宋_GB2312" w:eastAsia="仿宋_GB2312" w:cs="仿宋_GB2312"/>
                <w:i w:val="0"/>
                <w:caps w:val="0"/>
                <w:color w:val="000000"/>
                <w:spacing w:val="0"/>
                <w:kern w:val="0"/>
                <w:sz w:val="22"/>
                <w:szCs w:val="22"/>
                <w:bdr w:val="none" w:color="auto" w:sz="0" w:space="0"/>
                <w:lang w:val="en-US" w:eastAsia="zh-CN" w:bidi="ar"/>
              </w:rPr>
              <w:t>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11703"/>
    <w:rsid w:val="3C3117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2019-04-11T08:03:00Z</dcterms:created>
  <dc:creator>ASUS</dc:creator>
  <cp:lastModifiedBy>ASUS</cp:lastModifiedBy>
  <dcterms:modified xsi:type="dcterms:W3CDTF">2019-04-11T08:06:14Z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