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方正小标宋简体" w:hAnsi="黑体" w:eastAsia="方正小标宋简体" w:cs="宋体"/>
          <w:color w:val="auto"/>
          <w:kern w:val="0"/>
          <w:sz w:val="24"/>
          <w:szCs w:val="24"/>
        </w:rPr>
      </w:pPr>
      <w:r>
        <w:rPr>
          <w:rFonts w:hint="eastAsia" w:ascii="方正仿宋_GBK" w:hAnsi="黑体" w:eastAsia="方正仿宋_GBK" w:cs="宋体"/>
          <w:color w:val="auto"/>
          <w:kern w:val="0"/>
          <w:sz w:val="21"/>
          <w:szCs w:val="21"/>
        </w:rPr>
        <w:t>附件1</w:t>
      </w:r>
      <w:r>
        <w:rPr>
          <w:rFonts w:hint="eastAsia" w:ascii="方正小标宋简体" w:hAnsi="黑体" w:eastAsia="方正小标宋简体" w:cs="宋体"/>
          <w:color w:val="auto"/>
          <w:kern w:val="0"/>
          <w:sz w:val="24"/>
          <w:szCs w:val="24"/>
        </w:rPr>
        <w:t xml:space="preserve"> ：                    重庆化工职业学院2019年公开招聘岗位一览表</w:t>
      </w:r>
    </w:p>
    <w:tbl>
      <w:tblPr>
        <w:tblStyle w:val="4"/>
        <w:tblW w:w="16160" w:type="dxa"/>
        <w:tblInd w:w="-885" w:type="dxa"/>
        <w:tblLayout w:type="fixed"/>
        <w:tblCellMar>
          <w:top w:w="0" w:type="dxa"/>
          <w:left w:w="108" w:type="dxa"/>
          <w:bottom w:w="0" w:type="dxa"/>
          <w:right w:w="108" w:type="dxa"/>
        </w:tblCellMar>
      </w:tblPr>
      <w:tblGrid>
        <w:gridCol w:w="500"/>
        <w:gridCol w:w="599"/>
        <w:gridCol w:w="1595"/>
        <w:gridCol w:w="1701"/>
        <w:gridCol w:w="757"/>
        <w:gridCol w:w="480"/>
        <w:gridCol w:w="747"/>
        <w:gridCol w:w="2840"/>
        <w:gridCol w:w="539"/>
        <w:gridCol w:w="480"/>
        <w:gridCol w:w="1139"/>
        <w:gridCol w:w="4783"/>
      </w:tblGrid>
      <w:tr>
        <w:tblPrEx>
          <w:tblLayout w:type="fixed"/>
          <w:tblCellMar>
            <w:top w:w="0" w:type="dxa"/>
            <w:left w:w="108" w:type="dxa"/>
            <w:bottom w:w="0" w:type="dxa"/>
            <w:right w:w="108" w:type="dxa"/>
          </w:tblCellMar>
        </w:tblPrEx>
        <w:trPr>
          <w:trHeight w:val="702" w:hRule="atLeast"/>
        </w:trPr>
        <w:tc>
          <w:tcPr>
            <w:tcW w:w="5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序号</w:t>
            </w:r>
          </w:p>
        </w:tc>
        <w:tc>
          <w:tcPr>
            <w:tcW w:w="59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主管</w:t>
            </w:r>
            <w:r>
              <w:rPr>
                <w:rFonts w:hint="eastAsia" w:ascii="黑体" w:hAnsi="黑体" w:eastAsia="黑体" w:cs="宋体"/>
                <w:color w:val="auto"/>
                <w:kern w:val="0"/>
                <w:sz w:val="24"/>
                <w:szCs w:val="24"/>
              </w:rPr>
              <w:br w:type="textWrapping"/>
            </w:r>
            <w:r>
              <w:rPr>
                <w:rFonts w:hint="eastAsia" w:ascii="黑体" w:hAnsi="黑体" w:eastAsia="黑体" w:cs="宋体"/>
                <w:color w:val="auto"/>
                <w:kern w:val="0"/>
                <w:sz w:val="24"/>
                <w:szCs w:val="24"/>
              </w:rPr>
              <w:t>部门</w:t>
            </w:r>
          </w:p>
        </w:tc>
        <w:tc>
          <w:tcPr>
            <w:tcW w:w="15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招聘部门</w:t>
            </w:r>
          </w:p>
        </w:tc>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招聘岗位</w:t>
            </w:r>
          </w:p>
        </w:tc>
        <w:tc>
          <w:tcPr>
            <w:tcW w:w="7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岗位类别及等级</w:t>
            </w:r>
          </w:p>
        </w:tc>
        <w:tc>
          <w:tcPr>
            <w:tcW w:w="4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招聘名额</w:t>
            </w:r>
          </w:p>
        </w:tc>
        <w:tc>
          <w:tcPr>
            <w:tcW w:w="5745"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基本条件</w:t>
            </w:r>
          </w:p>
        </w:tc>
        <w:tc>
          <w:tcPr>
            <w:tcW w:w="478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备注</w:t>
            </w:r>
          </w:p>
        </w:tc>
      </w:tr>
      <w:tr>
        <w:tblPrEx>
          <w:tblLayout w:type="fixed"/>
          <w:tblCellMar>
            <w:top w:w="0" w:type="dxa"/>
            <w:left w:w="108" w:type="dxa"/>
            <w:bottom w:w="0" w:type="dxa"/>
            <w:right w:w="108" w:type="dxa"/>
          </w:tblCellMar>
        </w:tblPrEx>
        <w:trPr>
          <w:trHeight w:val="690" w:hRule="atLeast"/>
        </w:trPr>
        <w:tc>
          <w:tcPr>
            <w:tcW w:w="5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黑体" w:hAnsi="黑体" w:eastAsia="黑体" w:cs="宋体"/>
                <w:color w:val="auto"/>
                <w:kern w:val="0"/>
                <w:sz w:val="24"/>
                <w:szCs w:val="24"/>
              </w:rPr>
            </w:pPr>
          </w:p>
        </w:tc>
        <w:tc>
          <w:tcPr>
            <w:tcW w:w="59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黑体" w:hAnsi="黑体" w:eastAsia="黑体" w:cs="宋体"/>
                <w:color w:val="auto"/>
                <w:kern w:val="0"/>
                <w:sz w:val="24"/>
                <w:szCs w:val="24"/>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黑体" w:hAnsi="黑体" w:eastAsia="黑体" w:cs="宋体"/>
                <w:color w:val="auto"/>
                <w:kern w:val="0"/>
                <w:sz w:val="24"/>
                <w:szCs w:val="24"/>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黑体" w:hAnsi="黑体" w:eastAsia="黑体" w:cs="宋体"/>
                <w:color w:val="auto"/>
                <w:kern w:val="0"/>
                <w:sz w:val="24"/>
                <w:szCs w:val="24"/>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黑体" w:hAnsi="黑体" w:eastAsia="黑体" w:cs="宋体"/>
                <w:color w:val="auto"/>
                <w:kern w:val="0"/>
                <w:sz w:val="24"/>
                <w:szCs w:val="24"/>
              </w:rPr>
            </w:pPr>
          </w:p>
        </w:tc>
        <w:tc>
          <w:tcPr>
            <w:tcW w:w="4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黑体" w:hAnsi="黑体" w:eastAsia="黑体" w:cs="宋体"/>
                <w:color w:val="auto"/>
                <w:kern w:val="0"/>
                <w:sz w:val="24"/>
                <w:szCs w:val="24"/>
              </w:rPr>
            </w:pPr>
          </w:p>
        </w:tc>
        <w:tc>
          <w:tcPr>
            <w:tcW w:w="7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学历(学位)</w:t>
            </w:r>
          </w:p>
        </w:tc>
        <w:tc>
          <w:tcPr>
            <w:tcW w:w="284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专业</w:t>
            </w:r>
          </w:p>
        </w:tc>
        <w:tc>
          <w:tcPr>
            <w:tcW w:w="5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年龄</w:t>
            </w: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性别</w:t>
            </w:r>
          </w:p>
        </w:tc>
        <w:tc>
          <w:tcPr>
            <w:tcW w:w="113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黑体" w:hAnsi="黑体" w:eastAsia="黑体" w:cs="宋体"/>
                <w:color w:val="auto"/>
                <w:kern w:val="0"/>
                <w:sz w:val="24"/>
                <w:szCs w:val="24"/>
              </w:rPr>
            </w:pPr>
            <w:r>
              <w:rPr>
                <w:rFonts w:hint="eastAsia" w:ascii="黑体" w:hAnsi="黑体" w:eastAsia="黑体" w:cs="宋体"/>
                <w:color w:val="auto"/>
                <w:kern w:val="0"/>
                <w:sz w:val="24"/>
                <w:szCs w:val="24"/>
              </w:rPr>
              <w:t>其他条件</w:t>
            </w:r>
          </w:p>
        </w:tc>
        <w:tc>
          <w:tcPr>
            <w:tcW w:w="47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黑体" w:hAnsi="黑体" w:eastAsia="黑体" w:cs="宋体"/>
                <w:color w:val="auto"/>
                <w:kern w:val="0"/>
                <w:sz w:val="24"/>
                <w:szCs w:val="24"/>
              </w:rPr>
            </w:pPr>
          </w:p>
        </w:tc>
      </w:tr>
      <w:tr>
        <w:tblPrEx>
          <w:tblLayout w:type="fixed"/>
          <w:tblCellMar>
            <w:top w:w="0" w:type="dxa"/>
            <w:left w:w="108" w:type="dxa"/>
            <w:bottom w:w="0" w:type="dxa"/>
            <w:right w:w="108" w:type="dxa"/>
          </w:tblCellMar>
        </w:tblPrEx>
        <w:trPr>
          <w:trHeight w:val="232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w:t>
            </w:r>
          </w:p>
        </w:tc>
        <w:tc>
          <w:tcPr>
            <w:tcW w:w="5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市教委</w:t>
            </w: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高层次人才计划</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专任教师（高层次人才）</w:t>
            </w:r>
          </w:p>
        </w:tc>
        <w:tc>
          <w:tcPr>
            <w:tcW w:w="75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专技10级及以上</w:t>
            </w: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20</w:t>
            </w:r>
          </w:p>
        </w:tc>
        <w:tc>
          <w:tcPr>
            <w:tcW w:w="7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全日制研究生学历并取得博士学位</w:t>
            </w:r>
          </w:p>
        </w:tc>
        <w:tc>
          <w:tcPr>
            <w:tcW w:w="284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马克思主义理论类、中国语言文学类、外国语言文学类、数学类、药学类、中药学类、环境科学与工程类、土木类、建筑类、机械类、电气类、自动化类、材料类、化工与制药类、</w:t>
            </w:r>
            <w:r>
              <w:rPr>
                <w:rFonts w:hint="eastAsia" w:ascii="方正仿宋_GBK" w:hAnsi="宋体" w:eastAsia="方正仿宋_GBK" w:cs="宋体"/>
                <w:color w:val="auto"/>
                <w:kern w:val="0"/>
                <w:lang w:eastAsia="zh-CN"/>
              </w:rPr>
              <w:t>化学类、</w:t>
            </w:r>
            <w:bookmarkStart w:id="0" w:name="_GoBack"/>
            <w:bookmarkEnd w:id="0"/>
            <w:r>
              <w:rPr>
                <w:rFonts w:hint="eastAsia" w:ascii="方正仿宋_GBK" w:hAnsi="宋体" w:eastAsia="方正仿宋_GBK" w:cs="宋体"/>
                <w:color w:val="auto"/>
                <w:kern w:val="0"/>
              </w:rPr>
              <w:t>安全科学与工程类、工商管理类、电子信息类、计算机类、设计学类等相关专业</w:t>
            </w:r>
          </w:p>
        </w:tc>
        <w:tc>
          <w:tcPr>
            <w:tcW w:w="5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 xml:space="preserve">40周岁及以下 </w:t>
            </w:r>
          </w:p>
        </w:tc>
        <w:tc>
          <w:tcPr>
            <w:tcW w:w="4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不限</w:t>
            </w:r>
          </w:p>
        </w:tc>
        <w:tc>
          <w:tcPr>
            <w:tcW w:w="113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具有正高级职称的人员学历可放宽至全日制本科及以上学历并取得相应学位。</w:t>
            </w:r>
          </w:p>
        </w:tc>
        <w:tc>
          <w:tcPr>
            <w:tcW w:w="478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特别优秀者经人社局批准年龄可适当放宽至50周岁。</w:t>
            </w:r>
          </w:p>
        </w:tc>
      </w:tr>
      <w:tr>
        <w:tblPrEx>
          <w:tblLayout w:type="fixed"/>
          <w:tblCellMar>
            <w:top w:w="0" w:type="dxa"/>
            <w:left w:w="108" w:type="dxa"/>
            <w:bottom w:w="0" w:type="dxa"/>
            <w:right w:w="108" w:type="dxa"/>
          </w:tblCellMar>
        </w:tblPrEx>
        <w:trPr>
          <w:trHeight w:val="46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2</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制药工程学院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专业专任教师1</w:t>
            </w:r>
          </w:p>
        </w:tc>
        <w:tc>
          <w:tcPr>
            <w:tcW w:w="75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专业技术12级及以上</w:t>
            </w: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3</w:t>
            </w:r>
          </w:p>
        </w:tc>
        <w:tc>
          <w:tcPr>
            <w:tcW w:w="74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全日制普通高校研究生学历并取得相应学位</w:t>
            </w: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药学类、中药学类</w:t>
            </w:r>
          </w:p>
        </w:tc>
        <w:tc>
          <w:tcPr>
            <w:tcW w:w="53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35周岁及以下</w:t>
            </w: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无</w:t>
            </w:r>
          </w:p>
        </w:tc>
        <w:tc>
          <w:tcPr>
            <w:tcW w:w="478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1.具有本专业类副高级及以上职称者年龄可放宽至40周岁及以下，学历学位可放宽至全日制本科并取得相应学位；</w:t>
            </w:r>
            <w:r>
              <w:rPr>
                <w:rFonts w:hint="eastAsia" w:ascii="方正仿宋_GBK" w:hAnsi="宋体" w:eastAsia="方正仿宋_GBK" w:cs="宋体"/>
                <w:color w:val="auto"/>
                <w:kern w:val="0"/>
              </w:rPr>
              <w:br w:type="textWrapping"/>
            </w:r>
            <w:r>
              <w:rPr>
                <w:rFonts w:hint="eastAsia" w:ascii="方正仿宋_GBK" w:hAnsi="宋体" w:eastAsia="方正仿宋_GBK" w:cs="宋体"/>
                <w:color w:val="auto"/>
                <w:kern w:val="0"/>
              </w:rPr>
              <w:t>2.具有本专业类中级及以上职称者，且具有硕士学位者，学历可放宽至全日制本科；</w:t>
            </w:r>
            <w:r>
              <w:rPr>
                <w:rFonts w:hint="eastAsia" w:ascii="方正仿宋_GBK" w:hAnsi="宋体" w:eastAsia="方正仿宋_GBK" w:cs="宋体"/>
                <w:color w:val="auto"/>
                <w:kern w:val="0"/>
              </w:rPr>
              <w:br w:type="textWrapping"/>
            </w:r>
            <w:r>
              <w:rPr>
                <w:rFonts w:hint="eastAsia" w:ascii="方正仿宋_GBK" w:hAnsi="宋体" w:eastAsia="方正仿宋_GBK" w:cs="宋体"/>
                <w:color w:val="auto"/>
                <w:kern w:val="0"/>
              </w:rPr>
              <w:br w:type="textWrapping"/>
            </w:r>
            <w:r>
              <w:rPr>
                <w:rFonts w:hint="eastAsia" w:ascii="方正仿宋_GBK" w:hAnsi="宋体" w:eastAsia="方正仿宋_GBK" w:cs="宋体"/>
                <w:color w:val="auto"/>
                <w:kern w:val="0"/>
              </w:rPr>
              <w:t>3.其中应聘化学工程学院专业专任教师的人员，本科、研究生阶段专业方向为化妆品技术与工程、香料香精技术与工程者优先考虑，有专业背景工作经历的优先；</w:t>
            </w:r>
            <w:r>
              <w:rPr>
                <w:rFonts w:hint="eastAsia" w:ascii="方正仿宋_GBK" w:hAnsi="宋体" w:eastAsia="方正仿宋_GBK" w:cs="宋体"/>
                <w:color w:val="auto"/>
                <w:kern w:val="0"/>
              </w:rPr>
              <w:br w:type="textWrapping"/>
            </w:r>
            <w:r>
              <w:rPr>
                <w:rFonts w:hint="eastAsia" w:ascii="方正仿宋_GBK" w:hAnsi="宋体" w:eastAsia="方正仿宋_GBK" w:cs="宋体"/>
                <w:color w:val="auto"/>
                <w:kern w:val="0"/>
              </w:rPr>
              <w:t>4.其中招聘的机械与自动化工程学院专业专任教师3岗位和通识教育学院专任教师2岗位的教师聘用后须按照学院安排坐班。</w:t>
            </w:r>
          </w:p>
        </w:tc>
      </w:tr>
      <w:tr>
        <w:tblPrEx>
          <w:tblLayout w:type="fixed"/>
          <w:tblCellMar>
            <w:top w:w="0" w:type="dxa"/>
            <w:left w:w="108" w:type="dxa"/>
            <w:bottom w:w="0" w:type="dxa"/>
            <w:right w:w="108" w:type="dxa"/>
          </w:tblCellMar>
        </w:tblPrEx>
        <w:trPr>
          <w:trHeight w:val="46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3</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制药工程学院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专业专任教师2</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2</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生物科学类、生物工程类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4</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制药工程学院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专业专任教师3</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1</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医学类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5</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环境与质量检测学院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专业专任教师1</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1</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环境科学与工程类、化学类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6</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环境与质量检测学院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专业专任教师2</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1</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食品科学与工程类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r>
      <w:tr>
        <w:tblPrEx>
          <w:tblLayout w:type="fixed"/>
          <w:tblCellMar>
            <w:top w:w="0" w:type="dxa"/>
            <w:left w:w="108" w:type="dxa"/>
            <w:bottom w:w="0" w:type="dxa"/>
            <w:right w:w="108" w:type="dxa"/>
          </w:tblCellMar>
        </w:tblPrEx>
        <w:trPr>
          <w:trHeight w:val="52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7</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化学工程学院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 xml:space="preserve">专业专任教师 </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1</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化工与制药类、安全科学与工程类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r>
      <w:tr>
        <w:tblPrEx>
          <w:tblLayout w:type="fixed"/>
          <w:tblCellMar>
            <w:top w:w="0" w:type="dxa"/>
            <w:left w:w="108" w:type="dxa"/>
            <w:bottom w:w="0" w:type="dxa"/>
            <w:right w:w="108" w:type="dxa"/>
          </w:tblCellMar>
        </w:tblPrEx>
        <w:trPr>
          <w:trHeight w:val="46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8</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财经学院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专业专任教师</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3</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工商管理类、经济学类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r>
      <w:tr>
        <w:tblPrEx>
          <w:tblLayout w:type="fixed"/>
          <w:tblCellMar>
            <w:top w:w="0" w:type="dxa"/>
            <w:left w:w="108" w:type="dxa"/>
            <w:bottom w:w="0" w:type="dxa"/>
            <w:right w:w="108" w:type="dxa"/>
          </w:tblCellMar>
        </w:tblPrEx>
        <w:trPr>
          <w:trHeight w:val="46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9</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建筑工程与艺术设计学院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专业专任教师</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1</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土木类、建筑类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r>
      <w:tr>
        <w:tblPrEx>
          <w:tblLayout w:type="fixed"/>
          <w:tblCellMar>
            <w:top w:w="0" w:type="dxa"/>
            <w:left w:w="108" w:type="dxa"/>
            <w:bottom w:w="0" w:type="dxa"/>
            <w:right w:w="108" w:type="dxa"/>
          </w:tblCellMar>
        </w:tblPrEx>
        <w:trPr>
          <w:trHeight w:val="46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10</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机械与自动化工程学院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专业专任教师1</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2</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机械类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r>
      <w:tr>
        <w:tblPrEx>
          <w:tblLayout w:type="fixed"/>
          <w:tblCellMar>
            <w:top w:w="0" w:type="dxa"/>
            <w:left w:w="108" w:type="dxa"/>
            <w:bottom w:w="0" w:type="dxa"/>
            <w:right w:w="108" w:type="dxa"/>
          </w:tblCellMar>
        </w:tblPrEx>
        <w:trPr>
          <w:trHeight w:val="570"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11</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机械与自动化工程学院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专业专任教师2</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2</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电气类、电子信息类、自动化类、计算机类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r>
      <w:tr>
        <w:tblPrEx>
          <w:tblLayout w:type="fixed"/>
          <w:tblCellMar>
            <w:top w:w="0" w:type="dxa"/>
            <w:left w:w="108" w:type="dxa"/>
            <w:bottom w:w="0" w:type="dxa"/>
            <w:right w:w="108" w:type="dxa"/>
          </w:tblCellMar>
        </w:tblPrEx>
        <w:trPr>
          <w:trHeight w:val="46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12</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机械与自动化工程学院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专业专任教师3</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1</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计算机类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r>
      <w:tr>
        <w:tblPrEx>
          <w:tblLayout w:type="fixed"/>
          <w:tblCellMar>
            <w:top w:w="0" w:type="dxa"/>
            <w:left w:w="108" w:type="dxa"/>
            <w:bottom w:w="0" w:type="dxa"/>
            <w:right w:w="108" w:type="dxa"/>
          </w:tblCellMar>
        </w:tblPrEx>
        <w:trPr>
          <w:trHeight w:val="52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13</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马克思主义学院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专任教师</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3</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马克思主义理论类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中共党员（含预备党员）</w:t>
            </w:r>
          </w:p>
        </w:tc>
        <w:tc>
          <w:tcPr>
            <w:tcW w:w="478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　</w:t>
            </w:r>
          </w:p>
        </w:tc>
      </w:tr>
      <w:tr>
        <w:tblPrEx>
          <w:tblLayout w:type="fixed"/>
          <w:tblCellMar>
            <w:top w:w="0" w:type="dxa"/>
            <w:left w:w="108" w:type="dxa"/>
            <w:bottom w:w="0" w:type="dxa"/>
            <w:right w:w="108" w:type="dxa"/>
          </w:tblCellMar>
        </w:tblPrEx>
        <w:trPr>
          <w:trHeight w:val="540"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14</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通识教育学院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专任教师1</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1</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中国语言文学类、外国语言文学类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无</w:t>
            </w:r>
          </w:p>
        </w:tc>
        <w:tc>
          <w:tcPr>
            <w:tcW w:w="478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　</w:t>
            </w:r>
          </w:p>
        </w:tc>
      </w:tr>
      <w:tr>
        <w:tblPrEx>
          <w:tblLayout w:type="fixed"/>
          <w:tblCellMar>
            <w:top w:w="0" w:type="dxa"/>
            <w:left w:w="108" w:type="dxa"/>
            <w:bottom w:w="0" w:type="dxa"/>
            <w:right w:w="108" w:type="dxa"/>
          </w:tblCellMar>
        </w:tblPrEx>
        <w:trPr>
          <w:trHeight w:val="330"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15</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通识教育学院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专任教师2</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1</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中国语言文学类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　</w:t>
            </w:r>
          </w:p>
        </w:tc>
      </w:tr>
      <w:tr>
        <w:tblPrEx>
          <w:tblLayout w:type="fixed"/>
          <w:tblCellMar>
            <w:top w:w="0" w:type="dxa"/>
            <w:left w:w="108" w:type="dxa"/>
            <w:bottom w:w="0" w:type="dxa"/>
            <w:right w:w="108" w:type="dxa"/>
          </w:tblCellMar>
        </w:tblPrEx>
        <w:trPr>
          <w:trHeight w:val="330"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16</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通识教育学院</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专任教师3</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1</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数学类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　</w:t>
            </w:r>
          </w:p>
        </w:tc>
      </w:tr>
      <w:tr>
        <w:tblPrEx>
          <w:tblLayout w:type="fixed"/>
          <w:tblCellMar>
            <w:top w:w="0" w:type="dxa"/>
            <w:left w:w="108" w:type="dxa"/>
            <w:bottom w:w="0" w:type="dxa"/>
            <w:right w:w="108" w:type="dxa"/>
          </w:tblCellMar>
        </w:tblPrEx>
        <w:trPr>
          <w:trHeight w:val="330"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17</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军事体育工作部</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专任教师</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1</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体育学类</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78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足球一级运动员优先</w:t>
            </w:r>
          </w:p>
        </w:tc>
      </w:tr>
      <w:tr>
        <w:tblPrEx>
          <w:tblLayout w:type="fixed"/>
          <w:tblCellMar>
            <w:top w:w="0" w:type="dxa"/>
            <w:left w:w="108" w:type="dxa"/>
            <w:bottom w:w="0" w:type="dxa"/>
            <w:right w:w="108" w:type="dxa"/>
          </w:tblCellMar>
        </w:tblPrEx>
        <w:trPr>
          <w:trHeight w:val="88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18</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党委学生工作部</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专职辅导员1</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3</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马克思主义理论类、中国语言文学类、外国语言文学类、数学类、药学类、中药学类、环境科学与工程类、土木类、建筑类、机械类、电气类、自动化类、材料类、化工与制药类、化学类、安全科学与工程类、工商管理类、电子信息类、计算机类、设计学类、经济学类等相关专业</w:t>
            </w: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男性</w:t>
            </w:r>
          </w:p>
        </w:tc>
        <w:tc>
          <w:tcPr>
            <w:tcW w:w="1139" w:type="dxa"/>
            <w:vMerge w:val="restart"/>
            <w:tcBorders>
              <w:top w:val="nil"/>
              <w:left w:val="nil"/>
              <w:right w:val="single" w:color="auto" w:sz="4" w:space="0"/>
            </w:tcBorders>
            <w:shd w:val="clear" w:color="000000" w:fill="FFFFFF"/>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1.中共党员（含预备党员）</w:t>
            </w:r>
            <w:r>
              <w:rPr>
                <w:rFonts w:hint="eastAsia" w:ascii="方正仿宋_GBK" w:hAnsi="宋体" w:eastAsia="方正仿宋_GBK" w:cs="宋体"/>
                <w:color w:val="auto"/>
                <w:kern w:val="0"/>
              </w:rPr>
              <w:br w:type="textWrapping"/>
            </w:r>
            <w:r>
              <w:rPr>
                <w:rFonts w:hint="eastAsia" w:ascii="方正仿宋_GBK" w:hAnsi="宋体" w:eastAsia="方正仿宋_GBK" w:cs="宋体"/>
                <w:color w:val="auto"/>
                <w:kern w:val="0"/>
              </w:rPr>
              <w:t>2.须有学生干部经历</w:t>
            </w:r>
          </w:p>
        </w:tc>
        <w:tc>
          <w:tcPr>
            <w:tcW w:w="478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1.聘用后须长期从事辅导员工作；</w:t>
            </w:r>
            <w:r>
              <w:rPr>
                <w:rFonts w:hint="eastAsia" w:ascii="方正仿宋_GBK" w:hAnsi="宋体" w:eastAsia="方正仿宋_GBK" w:cs="宋体"/>
                <w:color w:val="auto"/>
                <w:kern w:val="0"/>
              </w:rPr>
              <w:br w:type="textWrapping"/>
            </w:r>
            <w:r>
              <w:rPr>
                <w:rFonts w:hint="eastAsia" w:ascii="方正仿宋_GBK" w:hAnsi="宋体" w:eastAsia="方正仿宋_GBK" w:cs="宋体"/>
                <w:color w:val="auto"/>
                <w:kern w:val="0"/>
              </w:rPr>
              <w:t>2.聘用后须住宿男生宿舍管理学生。</w:t>
            </w:r>
          </w:p>
        </w:tc>
      </w:tr>
      <w:tr>
        <w:tblPrEx>
          <w:tblLayout w:type="fixed"/>
          <w:tblCellMar>
            <w:top w:w="0" w:type="dxa"/>
            <w:left w:w="108" w:type="dxa"/>
            <w:bottom w:w="0" w:type="dxa"/>
            <w:right w:w="108" w:type="dxa"/>
          </w:tblCellMar>
        </w:tblPrEx>
        <w:trPr>
          <w:trHeight w:val="915"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sz w:val="22"/>
                <w:szCs w:val="22"/>
              </w:rPr>
            </w:pPr>
            <w:r>
              <w:rPr>
                <w:rFonts w:hint="eastAsia" w:ascii="方正仿宋_GBK" w:hAnsi="宋体" w:eastAsia="方正仿宋_GBK" w:cs="宋体"/>
                <w:color w:val="auto"/>
                <w:kern w:val="0"/>
                <w:sz w:val="22"/>
                <w:szCs w:val="22"/>
              </w:rPr>
              <w:t>19</w:t>
            </w:r>
          </w:p>
        </w:tc>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15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党委学生工作部</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专职辅导员2</w:t>
            </w:r>
          </w:p>
        </w:tc>
        <w:tc>
          <w:tcPr>
            <w:tcW w:w="7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3</w:t>
            </w:r>
          </w:p>
        </w:tc>
        <w:tc>
          <w:tcPr>
            <w:tcW w:w="7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28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5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方正仿宋_GBK" w:hAnsi="宋体" w:eastAsia="方正仿宋_GBK" w:cs="宋体"/>
                <w:color w:val="auto"/>
                <w:kern w:val="0"/>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方正仿宋_GBK" w:hAnsi="宋体" w:eastAsia="方正仿宋_GBK" w:cs="宋体"/>
                <w:color w:val="auto"/>
                <w:kern w:val="0"/>
              </w:rPr>
            </w:pPr>
            <w:r>
              <w:rPr>
                <w:rFonts w:hint="eastAsia" w:ascii="方正仿宋_GBK" w:hAnsi="宋体" w:eastAsia="方正仿宋_GBK" w:cs="宋体"/>
                <w:color w:val="auto"/>
                <w:kern w:val="0"/>
              </w:rPr>
              <w:t>女性</w:t>
            </w:r>
          </w:p>
        </w:tc>
        <w:tc>
          <w:tcPr>
            <w:tcW w:w="1139" w:type="dxa"/>
            <w:vMerge w:val="continue"/>
            <w:tcBorders>
              <w:left w:val="nil"/>
              <w:bottom w:val="single" w:color="auto" w:sz="4" w:space="0"/>
              <w:right w:val="single" w:color="auto" w:sz="4" w:space="0"/>
            </w:tcBorders>
            <w:shd w:val="clear" w:color="000000" w:fill="FFFFFF"/>
            <w:vAlign w:val="center"/>
          </w:tcPr>
          <w:p>
            <w:pPr>
              <w:widowControl/>
              <w:spacing w:line="240" w:lineRule="exact"/>
              <w:jc w:val="left"/>
              <w:rPr>
                <w:rFonts w:ascii="方正仿宋_GBK" w:hAnsi="宋体" w:eastAsia="方正仿宋_GBK" w:cs="宋体"/>
                <w:color w:val="auto"/>
                <w:kern w:val="0"/>
              </w:rPr>
            </w:pPr>
          </w:p>
        </w:tc>
        <w:tc>
          <w:tcPr>
            <w:tcW w:w="478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方正仿宋_GBK" w:hAnsi="宋体" w:eastAsia="方正仿宋_GBK" w:cs="宋体"/>
                <w:color w:val="auto"/>
                <w:kern w:val="0"/>
              </w:rPr>
            </w:pPr>
            <w:r>
              <w:rPr>
                <w:rFonts w:hint="eastAsia" w:ascii="方正仿宋_GBK" w:hAnsi="宋体" w:eastAsia="方正仿宋_GBK" w:cs="宋体"/>
                <w:color w:val="auto"/>
                <w:kern w:val="0"/>
              </w:rPr>
              <w:t>1. 聘用后须长期从事辅导员工作；</w:t>
            </w:r>
            <w:r>
              <w:rPr>
                <w:rFonts w:hint="eastAsia" w:ascii="方正仿宋_GBK" w:hAnsi="宋体" w:eastAsia="方正仿宋_GBK" w:cs="宋体"/>
                <w:color w:val="auto"/>
                <w:kern w:val="0"/>
              </w:rPr>
              <w:br w:type="textWrapping"/>
            </w:r>
            <w:r>
              <w:rPr>
                <w:rFonts w:hint="eastAsia" w:ascii="方正仿宋_GBK" w:hAnsi="宋体" w:eastAsia="方正仿宋_GBK" w:cs="宋体"/>
                <w:color w:val="auto"/>
                <w:kern w:val="0"/>
              </w:rPr>
              <w:t>2. 聘用后须住宿女生宿舍管理学生。</w:t>
            </w:r>
          </w:p>
        </w:tc>
      </w:tr>
    </w:tbl>
    <w:p>
      <w:pPr>
        <w:spacing w:line="240" w:lineRule="exact"/>
        <w:rPr>
          <w:rFonts w:ascii="方正仿宋_GBK" w:eastAsia="方正仿宋_GBK"/>
          <w:color w:val="auto"/>
          <w:sz w:val="21"/>
          <w:szCs w:val="21"/>
        </w:rPr>
      </w:pPr>
    </w:p>
    <w:sectPr>
      <w:headerReference r:id="rId3" w:type="default"/>
      <w:pgSz w:w="16838" w:h="11906" w:orient="landscape"/>
      <w:pgMar w:top="1560" w:right="3513"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EE81B2-D161-4D26-832C-91FAF849304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6BC0F44-68D1-451D-80E4-AB95398C76DB}"/>
  </w:font>
  <w:font w:name="方正小标宋简体">
    <w:panose1 w:val="02000000000000000000"/>
    <w:charset w:val="86"/>
    <w:family w:val="script"/>
    <w:pitch w:val="default"/>
    <w:sig w:usb0="00000001" w:usb1="08000000" w:usb2="00000000" w:usb3="00000000" w:csb0="00040000" w:csb1="00000000"/>
    <w:embedRegular r:id="rId3" w:fontKey="{2369507A-326E-4009-90C0-E79ED1584CEF}"/>
  </w:font>
  <w:font w:name="方正仿宋_GBK">
    <w:panose1 w:val="03000509000000000000"/>
    <w:charset w:val="86"/>
    <w:family w:val="script"/>
    <w:pitch w:val="default"/>
    <w:sig w:usb0="00000001" w:usb1="080E0000" w:usb2="00000000" w:usb3="00000000" w:csb0="00040000" w:csb1="00000000"/>
    <w:embedRegular r:id="rId4" w:fontKey="{19F744B2-A6FF-4EF2-8CD7-571927531136}"/>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11B22"/>
    <w:rsid w:val="00046440"/>
    <w:rsid w:val="0006707B"/>
    <w:rsid w:val="00081D13"/>
    <w:rsid w:val="00084417"/>
    <w:rsid w:val="000C0921"/>
    <w:rsid w:val="000D0676"/>
    <w:rsid w:val="000E4C5F"/>
    <w:rsid w:val="0010039F"/>
    <w:rsid w:val="0010751C"/>
    <w:rsid w:val="00116C39"/>
    <w:rsid w:val="00126309"/>
    <w:rsid w:val="00137AA0"/>
    <w:rsid w:val="00142AC1"/>
    <w:rsid w:val="00166545"/>
    <w:rsid w:val="0017410E"/>
    <w:rsid w:val="00185122"/>
    <w:rsid w:val="00191589"/>
    <w:rsid w:val="001A2866"/>
    <w:rsid w:val="001A4C7D"/>
    <w:rsid w:val="001D1180"/>
    <w:rsid w:val="00213595"/>
    <w:rsid w:val="00247CB1"/>
    <w:rsid w:val="00255466"/>
    <w:rsid w:val="002649EF"/>
    <w:rsid w:val="0028255F"/>
    <w:rsid w:val="00287581"/>
    <w:rsid w:val="002949A7"/>
    <w:rsid w:val="002B2C3C"/>
    <w:rsid w:val="002B3BAE"/>
    <w:rsid w:val="002C46B7"/>
    <w:rsid w:val="002F2815"/>
    <w:rsid w:val="00323BC6"/>
    <w:rsid w:val="00343B37"/>
    <w:rsid w:val="00357D2B"/>
    <w:rsid w:val="003721D4"/>
    <w:rsid w:val="00384173"/>
    <w:rsid w:val="003A0857"/>
    <w:rsid w:val="003A18DC"/>
    <w:rsid w:val="003A67ED"/>
    <w:rsid w:val="003D25C2"/>
    <w:rsid w:val="003D47C6"/>
    <w:rsid w:val="0040439D"/>
    <w:rsid w:val="00415B5F"/>
    <w:rsid w:val="004274E0"/>
    <w:rsid w:val="00490B44"/>
    <w:rsid w:val="00493DD2"/>
    <w:rsid w:val="004A2D4D"/>
    <w:rsid w:val="004D71E1"/>
    <w:rsid w:val="004E20D7"/>
    <w:rsid w:val="00505656"/>
    <w:rsid w:val="00513683"/>
    <w:rsid w:val="005227F9"/>
    <w:rsid w:val="005657E5"/>
    <w:rsid w:val="005666AD"/>
    <w:rsid w:val="00571865"/>
    <w:rsid w:val="00574A28"/>
    <w:rsid w:val="005773F9"/>
    <w:rsid w:val="005910D6"/>
    <w:rsid w:val="00592488"/>
    <w:rsid w:val="006001C2"/>
    <w:rsid w:val="00611B22"/>
    <w:rsid w:val="00616364"/>
    <w:rsid w:val="00630963"/>
    <w:rsid w:val="00633BBA"/>
    <w:rsid w:val="0067515F"/>
    <w:rsid w:val="00675348"/>
    <w:rsid w:val="006A4DAD"/>
    <w:rsid w:val="006B75A4"/>
    <w:rsid w:val="006C13E7"/>
    <w:rsid w:val="006C260A"/>
    <w:rsid w:val="006F5943"/>
    <w:rsid w:val="0071128D"/>
    <w:rsid w:val="007414FD"/>
    <w:rsid w:val="00742B0C"/>
    <w:rsid w:val="00743DB1"/>
    <w:rsid w:val="007442D7"/>
    <w:rsid w:val="0079394C"/>
    <w:rsid w:val="007A391E"/>
    <w:rsid w:val="00810A3D"/>
    <w:rsid w:val="00824E20"/>
    <w:rsid w:val="00827D57"/>
    <w:rsid w:val="00854688"/>
    <w:rsid w:val="00891B32"/>
    <w:rsid w:val="008D6E05"/>
    <w:rsid w:val="008E2918"/>
    <w:rsid w:val="00900CEA"/>
    <w:rsid w:val="0090343A"/>
    <w:rsid w:val="00906E9A"/>
    <w:rsid w:val="00937A03"/>
    <w:rsid w:val="00957399"/>
    <w:rsid w:val="00962E54"/>
    <w:rsid w:val="009A715C"/>
    <w:rsid w:val="009B37EC"/>
    <w:rsid w:val="009B4584"/>
    <w:rsid w:val="009C7C3B"/>
    <w:rsid w:val="009D3F39"/>
    <w:rsid w:val="009D4305"/>
    <w:rsid w:val="009D604C"/>
    <w:rsid w:val="00A2711D"/>
    <w:rsid w:val="00A27BF1"/>
    <w:rsid w:val="00A343FE"/>
    <w:rsid w:val="00A46DD5"/>
    <w:rsid w:val="00A47096"/>
    <w:rsid w:val="00A5744B"/>
    <w:rsid w:val="00A61ED9"/>
    <w:rsid w:val="00A9274E"/>
    <w:rsid w:val="00AC23EF"/>
    <w:rsid w:val="00AF561A"/>
    <w:rsid w:val="00B0473F"/>
    <w:rsid w:val="00B05819"/>
    <w:rsid w:val="00B407DF"/>
    <w:rsid w:val="00B40A51"/>
    <w:rsid w:val="00B638B2"/>
    <w:rsid w:val="00B87EE6"/>
    <w:rsid w:val="00BA36B9"/>
    <w:rsid w:val="00BC1948"/>
    <w:rsid w:val="00BC3AE6"/>
    <w:rsid w:val="00BD07A3"/>
    <w:rsid w:val="00BE416B"/>
    <w:rsid w:val="00BE76F3"/>
    <w:rsid w:val="00BF4F0A"/>
    <w:rsid w:val="00C22550"/>
    <w:rsid w:val="00C33B80"/>
    <w:rsid w:val="00C42BE4"/>
    <w:rsid w:val="00C70A01"/>
    <w:rsid w:val="00C7254D"/>
    <w:rsid w:val="00CB009D"/>
    <w:rsid w:val="00CB0BBC"/>
    <w:rsid w:val="00CB5DF6"/>
    <w:rsid w:val="00D33E18"/>
    <w:rsid w:val="00D42DC5"/>
    <w:rsid w:val="00D52DCD"/>
    <w:rsid w:val="00D90C74"/>
    <w:rsid w:val="00DA0434"/>
    <w:rsid w:val="00DA2049"/>
    <w:rsid w:val="00DA6C35"/>
    <w:rsid w:val="00DC7B5F"/>
    <w:rsid w:val="00DD514D"/>
    <w:rsid w:val="00E15CFF"/>
    <w:rsid w:val="00E22B4E"/>
    <w:rsid w:val="00E37004"/>
    <w:rsid w:val="00E53F6A"/>
    <w:rsid w:val="00E67104"/>
    <w:rsid w:val="00E93EE2"/>
    <w:rsid w:val="00EA2C51"/>
    <w:rsid w:val="00EB5284"/>
    <w:rsid w:val="00EE3676"/>
    <w:rsid w:val="00EF353A"/>
    <w:rsid w:val="00EF64BD"/>
    <w:rsid w:val="00F125C2"/>
    <w:rsid w:val="00F21534"/>
    <w:rsid w:val="00F21CC1"/>
    <w:rsid w:val="00F6488A"/>
    <w:rsid w:val="00F74EFF"/>
    <w:rsid w:val="00F84477"/>
    <w:rsid w:val="00F90C24"/>
    <w:rsid w:val="00FA1DB2"/>
    <w:rsid w:val="00FB095C"/>
    <w:rsid w:val="00FD0B9C"/>
    <w:rsid w:val="00FF3F52"/>
    <w:rsid w:val="00FF74CA"/>
    <w:rsid w:val="105F22FC"/>
    <w:rsid w:val="42504C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0"/>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227</Words>
  <Characters>1299</Characters>
  <Lines>10</Lines>
  <Paragraphs>3</Paragraphs>
  <TotalTime>26</TotalTime>
  <ScaleCrop>false</ScaleCrop>
  <LinksUpToDate>false</LinksUpToDate>
  <CharactersWithSpaces>1523</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2019-04-03T03:21:00Z</dcterms:created>
  <dc:creator>微软用户</dc:creator>
  <cp:lastModifiedBy>春春✨</cp:lastModifiedBy>
  <cp:lastPrinted>2019-04-10T02:07:00Z</cp:lastPrinted>
  <dcterms:modified xsi:type="dcterms:W3CDTF">2019-04-29T03:19:45Z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