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25" w:type="dxa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779"/>
        <w:gridCol w:w="704"/>
        <w:gridCol w:w="704"/>
        <w:gridCol w:w="704"/>
        <w:gridCol w:w="1137"/>
        <w:gridCol w:w="1273"/>
        <w:gridCol w:w="1422"/>
        <w:gridCol w:w="1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7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7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招聘计划</w:t>
            </w:r>
          </w:p>
        </w:tc>
        <w:tc>
          <w:tcPr>
            <w:tcW w:w="7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11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12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年龄要求</w:t>
            </w:r>
          </w:p>
        </w:tc>
        <w:tc>
          <w:tcPr>
            <w:tcW w:w="14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户籍要求</w:t>
            </w:r>
          </w:p>
        </w:tc>
        <w:tc>
          <w:tcPr>
            <w:tcW w:w="14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爱辉区政务服务中心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大厅工作人员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24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全日制普通高校统招专科及以上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</w:rPr>
              <w:t>35周岁以下（1984年6月4日以后出生）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爱辉区户籍、合作区户籍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24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0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~(≧▽≦)~樱小桃</cp:lastModifiedBy>
  <dcterms:modified xsi:type="dcterms:W3CDTF">2019-06-06T01:30:39Z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