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长治医学院公开招聘科研助理岗位需求表</w:t>
      </w:r>
    </w:p>
    <w:tbl>
      <w:tblPr>
        <w:tblStyle w:val="2"/>
        <w:tblW w:w="8648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467"/>
        <w:gridCol w:w="1513"/>
        <w:gridCol w:w="1984"/>
        <w:gridCol w:w="993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Style w:val="4"/>
                <w:rFonts w:hint="default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科研平台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</w:rPr>
              <w:t>岗位类别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山西省“1331工程”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消化道肿瘤的基础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与临床研究”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创新团队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或行政助理类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医学实验技术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山西省“1331工程”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重点学科建设计划项目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或行政助理类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  <w:t>医学实验技术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消化道肿瘤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综合防治学科群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预防医学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医学检验技术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  <w:t>医学实验技术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长治医学院科技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创新团队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药学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5EA5"/>
    <w:rsid w:val="0B095EA5"/>
    <w:rsid w:val="0B5A792D"/>
    <w:rsid w:val="37DB7C68"/>
    <w:rsid w:val="43A57125"/>
    <w:rsid w:val="711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2020-07-01T14:38:00Z</dcterms:created>
  <dc:creator>Administrator</dc:creator>
  <cp:lastModifiedBy>清泉  王春妮</cp:lastModifiedBy>
  <dcterms:modified xsi:type="dcterms:W3CDTF">2020-08-11T10:13:27Z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