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附件4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2020年图们市</w:t>
      </w:r>
      <w:r>
        <w:rPr>
          <w:rFonts w:hint="eastAsia" w:asciiTheme="minorEastAsia" w:hAnsiTheme="minorEastAsia" w:eastAsiaTheme="minorEastAsia" w:cstheme="minorEastAsia"/>
          <w:bCs/>
          <w:color w:val="333333"/>
          <w:kern w:val="36"/>
          <w:sz w:val="44"/>
          <w:szCs w:val="44"/>
        </w:rPr>
        <w:t>教育系统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事业单位公开招聘工作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笔试考生新冠肺炎疫情防控告知书</w:t>
      </w:r>
    </w:p>
    <w:p>
      <w:pPr>
        <w:spacing w:line="576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参加报名前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，应立即通过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图们市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新冠肺炎疫情防控办公室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（0433-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3623225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图们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图们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按要求隔离观察，并于笔试当天出具解除隔离证明。按疫情防控要求，须进行隔离观察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前通过微信添加“吉事办”小程序申领“吉祥码”“通信大数据行程卡”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下载打印并填写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2020年图们市教育系统事业单位公开招聘工作人员笔试考生行程轨迹、体温监测记录单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》每日记录。笔试当天，需扫描“吉祥码”、查看“通信大数据行程卡”、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按规定测温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并到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考场上交1份《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2020年图们市教育系统事业单位公开招聘工作人员笔试考生行程轨迹、体温监测记录单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（含）以后在吉林省检测机构检测的新冠病毒核酸检测阴性证明，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，经现场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防疫人员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确认可以参加考试的，须按规定到指定考场参加考试；经现场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防疫人员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可以参加考试的，须服从防疫工作安排。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2020年图们市教育系统事业单位公开招聘工作人员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笔试考生新冠肺炎疫情防控告知书》，知悉告知事项、证明义务和防疫要求，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340" w:right="1474" w:bottom="340" w:left="1474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D3E00"/>
    <w:rsid w:val="016D3E00"/>
    <w:rsid w:val="07F3786F"/>
    <w:rsid w:val="0EAB761E"/>
    <w:rsid w:val="12EF37E0"/>
    <w:rsid w:val="4A195433"/>
    <w:rsid w:val="4ED21922"/>
    <w:rsid w:val="4FA365EE"/>
    <w:rsid w:val="62F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123</dc:creator>
  <cp:lastModifiedBy>123</cp:lastModifiedBy>
  <dcterms:modified xsi:type="dcterms:W3CDTF">2020-10-26T02:06:51Z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